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17DD2CFC" w:rsidR="00420A38" w:rsidRPr="004E2A4D" w:rsidRDefault="004E2A4D" w:rsidP="00BF32F0">
      <w:pPr>
        <w:pStyle w:val="Header"/>
        <w:tabs>
          <w:tab w:val="clear" w:pos="9639"/>
          <w:tab w:val="right" w:pos="5954"/>
        </w:tabs>
        <w:spacing w:after="240"/>
        <w:rPr>
          <w:rFonts w:ascii="Calibri" w:hAnsi="Calibri"/>
        </w:rPr>
      </w:pPr>
      <w:r>
        <w:rPr>
          <w:rFonts w:ascii="Calibri" w:hAnsi="Calibri"/>
          <w:noProof/>
          <w:lang w:val="en-IE" w:eastAsia="en-IE"/>
        </w:rPr>
        <w:drawing>
          <wp:inline distT="0" distB="0" distL="0" distR="0" wp14:anchorId="1B1385E8" wp14:editId="64365323">
            <wp:extent cx="601042" cy="58578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-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703" cy="590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0A38" w:rsidRPr="004E2A4D">
        <w:rPr>
          <w:rFonts w:ascii="Calibri" w:hAnsi="Calibri"/>
        </w:rPr>
        <w:tab/>
      </w:r>
      <w:r w:rsidR="00420A38" w:rsidRPr="004E2A4D">
        <w:rPr>
          <w:rFonts w:ascii="Calibri" w:hAnsi="Calibri"/>
        </w:rPr>
        <w:tab/>
      </w:r>
      <w:r w:rsidR="00420A38" w:rsidRPr="004E2A4D">
        <w:rPr>
          <w:rFonts w:ascii="Calibri" w:hAnsi="Calibri"/>
        </w:rPr>
        <w:tab/>
        <w:t>Input paper</w:t>
      </w:r>
      <w:r w:rsidR="00037DF4" w:rsidRPr="004E2A4D">
        <w:rPr>
          <w:rFonts w:ascii="Calibri" w:hAnsi="Calibri"/>
        </w:rPr>
        <w:t xml:space="preserve">: </w:t>
      </w:r>
      <w:r w:rsidR="00420A38" w:rsidRPr="004E2A4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420A38" w:rsidRPr="004E2A4D">
        <w:rPr>
          <w:rFonts w:ascii="Calibri" w:hAnsi="Calibri"/>
        </w:rPr>
        <w:tab/>
      </w:r>
      <w:r w:rsidRPr="004E2A4D">
        <w:rPr>
          <w:rFonts w:ascii="Calibri" w:hAnsi="Calibri"/>
        </w:rPr>
        <w:t xml:space="preserve">     ENG4-9.16</w:t>
      </w:r>
    </w:p>
    <w:p w14:paraId="5A14DE03" w14:textId="77777777" w:rsidR="00BF32F0" w:rsidRPr="004E2A4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4E2A4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4E2A4D">
        <w:rPr>
          <w:rFonts w:ascii="Calibri" w:hAnsi="Calibri"/>
        </w:rPr>
        <w:t xml:space="preserve">Input paper for the following Committee(s): </w:t>
      </w:r>
      <w:r w:rsidRPr="004E2A4D">
        <w:rPr>
          <w:rFonts w:ascii="Calibri" w:hAnsi="Calibri"/>
        </w:rPr>
        <w:tab/>
      </w:r>
      <w:r w:rsidRPr="004E2A4D">
        <w:rPr>
          <w:rFonts w:ascii="Calibri" w:hAnsi="Calibri"/>
          <w:sz w:val="18"/>
          <w:szCs w:val="18"/>
        </w:rPr>
        <w:t>check as appropriate</w:t>
      </w:r>
      <w:r w:rsidRPr="004E2A4D">
        <w:rPr>
          <w:rFonts w:ascii="Calibri" w:hAnsi="Calibri"/>
          <w:sz w:val="18"/>
          <w:szCs w:val="18"/>
        </w:rPr>
        <w:tab/>
      </w:r>
      <w:r w:rsidRPr="004E2A4D">
        <w:rPr>
          <w:rFonts w:ascii="Calibri" w:hAnsi="Calibri"/>
        </w:rPr>
        <w:tab/>
        <w:t>Purpose of paper:</w:t>
      </w:r>
    </w:p>
    <w:p w14:paraId="78786733" w14:textId="0DC4ABCF" w:rsidR="0080294B" w:rsidRPr="004E2A4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4E2A4D">
        <w:rPr>
          <w:rFonts w:ascii="Calibri" w:hAnsi="Calibri" w:cs="Arial"/>
          <w:b/>
          <w:sz w:val="24"/>
          <w:szCs w:val="24"/>
        </w:rPr>
        <w:t>□</w:t>
      </w:r>
      <w:r w:rsidRPr="004E2A4D">
        <w:rPr>
          <w:rFonts w:ascii="Calibri" w:hAnsi="Calibri" w:cs="Arial"/>
          <w:sz w:val="24"/>
          <w:szCs w:val="24"/>
        </w:rPr>
        <w:t xml:space="preserve">  </w:t>
      </w:r>
      <w:r w:rsidRPr="004E2A4D">
        <w:rPr>
          <w:rFonts w:ascii="Calibri" w:hAnsi="Calibri" w:cs="Arial"/>
        </w:rPr>
        <w:t>ARM</w:t>
      </w:r>
      <w:r w:rsidR="00037DF4" w:rsidRPr="004E2A4D">
        <w:rPr>
          <w:rFonts w:ascii="Calibri" w:hAnsi="Calibri" w:cs="Arial"/>
        </w:rPr>
        <w:tab/>
      </w:r>
      <w:r w:rsidR="00945C17" w:rsidRPr="004E2A4D">
        <w:rPr>
          <w:rFonts w:ascii="Calibri" w:hAnsi="Calibri" w:cs="Arial"/>
          <w:b/>
        </w:rPr>
        <w:t>X</w:t>
      </w:r>
      <w:r w:rsidRPr="004E2A4D">
        <w:rPr>
          <w:rFonts w:ascii="Calibri" w:hAnsi="Calibri" w:cs="Arial"/>
          <w:sz w:val="24"/>
          <w:szCs w:val="24"/>
        </w:rPr>
        <w:t xml:space="preserve">  </w:t>
      </w:r>
      <w:r w:rsidRPr="004E2A4D">
        <w:rPr>
          <w:rFonts w:ascii="Calibri" w:hAnsi="Calibri" w:cs="Arial"/>
        </w:rPr>
        <w:t>ENG</w:t>
      </w:r>
      <w:r w:rsidRPr="004E2A4D">
        <w:rPr>
          <w:rFonts w:ascii="Calibri" w:hAnsi="Calibri" w:cs="Arial"/>
        </w:rPr>
        <w:tab/>
      </w:r>
      <w:r w:rsidRPr="004E2A4D">
        <w:rPr>
          <w:rFonts w:ascii="Calibri" w:hAnsi="Calibri" w:cs="Arial"/>
        </w:rPr>
        <w:tab/>
      </w:r>
      <w:r w:rsidRPr="004E2A4D">
        <w:rPr>
          <w:rFonts w:ascii="Calibri" w:hAnsi="Calibri" w:cs="Arial"/>
          <w:b/>
          <w:sz w:val="24"/>
          <w:szCs w:val="24"/>
        </w:rPr>
        <w:t>□</w:t>
      </w:r>
      <w:r w:rsidRPr="004E2A4D">
        <w:rPr>
          <w:rFonts w:ascii="Calibri" w:hAnsi="Calibri" w:cs="Arial"/>
          <w:sz w:val="24"/>
          <w:szCs w:val="24"/>
        </w:rPr>
        <w:t xml:space="preserve">  </w:t>
      </w:r>
      <w:r w:rsidRPr="004E2A4D">
        <w:rPr>
          <w:rFonts w:ascii="Calibri" w:hAnsi="Calibri" w:cs="Arial"/>
        </w:rPr>
        <w:t>PAP</w:t>
      </w:r>
      <w:r w:rsidRPr="004E2A4D">
        <w:rPr>
          <w:rFonts w:ascii="Calibri" w:hAnsi="Calibri" w:cs="Arial"/>
          <w:sz w:val="24"/>
          <w:szCs w:val="24"/>
        </w:rPr>
        <w:tab/>
      </w:r>
      <w:r w:rsidRPr="004E2A4D">
        <w:rPr>
          <w:rFonts w:ascii="Calibri" w:hAnsi="Calibri" w:cs="Arial"/>
          <w:sz w:val="24"/>
          <w:szCs w:val="24"/>
        </w:rPr>
        <w:tab/>
      </w:r>
      <w:r w:rsidR="00037DF4" w:rsidRPr="004E2A4D">
        <w:rPr>
          <w:rFonts w:ascii="Calibri" w:hAnsi="Calibri" w:cs="Arial"/>
          <w:sz w:val="24"/>
          <w:szCs w:val="24"/>
        </w:rPr>
        <w:tab/>
      </w:r>
      <w:r w:rsidR="00037DF4" w:rsidRPr="004E2A4D">
        <w:rPr>
          <w:rFonts w:ascii="Calibri" w:hAnsi="Calibri" w:cs="Arial"/>
          <w:sz w:val="24"/>
          <w:szCs w:val="24"/>
        </w:rPr>
        <w:tab/>
      </w:r>
      <w:r w:rsidR="00037DF4" w:rsidRPr="004E2A4D">
        <w:rPr>
          <w:rFonts w:ascii="Calibri" w:hAnsi="Calibri" w:cs="Arial"/>
          <w:sz w:val="24"/>
          <w:szCs w:val="24"/>
        </w:rPr>
        <w:tab/>
      </w:r>
      <w:r w:rsidR="00945C17" w:rsidRPr="004E2A4D">
        <w:rPr>
          <w:rFonts w:ascii="Calibri" w:hAnsi="Calibri" w:cs="Arial"/>
          <w:b/>
          <w:sz w:val="24"/>
          <w:szCs w:val="24"/>
        </w:rPr>
        <w:t>X</w:t>
      </w:r>
      <w:r w:rsidRPr="004E2A4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4E2A4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4E2A4D">
        <w:rPr>
          <w:rFonts w:ascii="Calibri" w:hAnsi="Calibri" w:cs="Arial"/>
          <w:b/>
          <w:sz w:val="24"/>
          <w:szCs w:val="24"/>
        </w:rPr>
        <w:t>□</w:t>
      </w:r>
      <w:r w:rsidRPr="004E2A4D">
        <w:rPr>
          <w:rFonts w:ascii="Calibri" w:hAnsi="Calibri" w:cs="Arial"/>
          <w:sz w:val="24"/>
          <w:szCs w:val="24"/>
        </w:rPr>
        <w:t xml:space="preserve">  </w:t>
      </w:r>
      <w:r w:rsidRPr="004E2A4D">
        <w:rPr>
          <w:rFonts w:ascii="Calibri" w:hAnsi="Calibri" w:cs="Arial"/>
        </w:rPr>
        <w:t>ENAV</w:t>
      </w:r>
      <w:r w:rsidRPr="004E2A4D">
        <w:rPr>
          <w:rFonts w:ascii="Calibri" w:hAnsi="Calibri" w:cs="Arial"/>
          <w:b/>
          <w:sz w:val="24"/>
          <w:szCs w:val="24"/>
        </w:rPr>
        <w:tab/>
        <w:t>□</w:t>
      </w:r>
      <w:r w:rsidRPr="004E2A4D">
        <w:rPr>
          <w:rFonts w:ascii="Calibri" w:hAnsi="Calibri" w:cs="Arial"/>
          <w:sz w:val="24"/>
          <w:szCs w:val="24"/>
        </w:rPr>
        <w:t xml:space="preserve">  </w:t>
      </w:r>
      <w:r w:rsidR="003D2DC1" w:rsidRPr="004E2A4D">
        <w:rPr>
          <w:rFonts w:ascii="Calibri" w:hAnsi="Calibri" w:cs="Arial"/>
        </w:rPr>
        <w:t>VTS</w:t>
      </w:r>
      <w:r w:rsidRPr="004E2A4D">
        <w:rPr>
          <w:rFonts w:ascii="Calibri" w:hAnsi="Calibri" w:cs="Arial"/>
          <w:sz w:val="24"/>
          <w:szCs w:val="24"/>
        </w:rPr>
        <w:tab/>
      </w:r>
      <w:r w:rsidRPr="004E2A4D">
        <w:rPr>
          <w:rFonts w:ascii="Calibri" w:hAnsi="Calibri" w:cs="Arial"/>
          <w:sz w:val="24"/>
          <w:szCs w:val="24"/>
        </w:rPr>
        <w:tab/>
      </w:r>
      <w:r w:rsidRPr="004E2A4D">
        <w:rPr>
          <w:rFonts w:ascii="Calibri" w:hAnsi="Calibri" w:cs="Arial"/>
          <w:sz w:val="24"/>
          <w:szCs w:val="24"/>
        </w:rPr>
        <w:tab/>
      </w:r>
      <w:r w:rsidRPr="004E2A4D">
        <w:rPr>
          <w:rFonts w:ascii="Calibri" w:hAnsi="Calibri" w:cs="Arial"/>
          <w:sz w:val="24"/>
          <w:szCs w:val="24"/>
        </w:rPr>
        <w:tab/>
      </w:r>
      <w:r w:rsidRPr="004E2A4D">
        <w:rPr>
          <w:rFonts w:ascii="Calibri" w:hAnsi="Calibri" w:cs="Arial"/>
          <w:sz w:val="24"/>
          <w:szCs w:val="24"/>
        </w:rPr>
        <w:tab/>
      </w:r>
      <w:r w:rsidR="00037DF4" w:rsidRPr="004E2A4D">
        <w:rPr>
          <w:rFonts w:ascii="Calibri" w:hAnsi="Calibri" w:cs="Arial"/>
          <w:sz w:val="24"/>
          <w:szCs w:val="24"/>
        </w:rPr>
        <w:tab/>
      </w:r>
      <w:r w:rsidR="00037DF4" w:rsidRPr="004E2A4D">
        <w:rPr>
          <w:rFonts w:ascii="Calibri" w:hAnsi="Calibri" w:cs="Arial"/>
          <w:sz w:val="24"/>
          <w:szCs w:val="24"/>
        </w:rPr>
        <w:tab/>
      </w:r>
      <w:r w:rsidRPr="004E2A4D">
        <w:rPr>
          <w:rFonts w:ascii="Calibri" w:hAnsi="Calibri" w:cs="Arial"/>
          <w:b/>
          <w:sz w:val="24"/>
          <w:szCs w:val="24"/>
        </w:rPr>
        <w:t>□</w:t>
      </w:r>
      <w:r w:rsidRPr="004E2A4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4E2A4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3205B2F" w:rsidR="00A446C9" w:rsidRPr="004E2A4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4E2A4D">
        <w:rPr>
          <w:rFonts w:ascii="Calibri" w:hAnsi="Calibri"/>
        </w:rPr>
        <w:t>Agenda item</w:t>
      </w:r>
      <w:r w:rsidR="00037DF4" w:rsidRPr="004E2A4D">
        <w:rPr>
          <w:rFonts w:ascii="Calibri" w:hAnsi="Calibri"/>
        </w:rPr>
        <w:t xml:space="preserve"> </w:t>
      </w:r>
      <w:r w:rsidR="00037DF4" w:rsidRPr="004E2A4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4E2A4D">
        <w:rPr>
          <w:rFonts w:ascii="Calibri" w:hAnsi="Calibri"/>
        </w:rPr>
        <w:tab/>
      </w:r>
      <w:r w:rsidR="0080294B" w:rsidRPr="004E2A4D">
        <w:rPr>
          <w:rFonts w:ascii="Calibri" w:hAnsi="Calibri"/>
        </w:rPr>
        <w:tab/>
      </w:r>
      <w:r w:rsidR="0080294B" w:rsidRPr="004E2A4D">
        <w:rPr>
          <w:rFonts w:ascii="Calibri" w:hAnsi="Calibri"/>
        </w:rPr>
        <w:tab/>
      </w:r>
      <w:r w:rsidR="004E2A4D">
        <w:rPr>
          <w:rFonts w:ascii="Calibri" w:hAnsi="Calibri"/>
        </w:rPr>
        <w:t>9</w:t>
      </w:r>
      <w:bookmarkStart w:id="0" w:name="_GoBack"/>
      <w:bookmarkEnd w:id="0"/>
    </w:p>
    <w:p w14:paraId="1AB3E246" w14:textId="005BFD52" w:rsidR="00A446C9" w:rsidRPr="004E2A4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4E2A4D">
        <w:rPr>
          <w:rFonts w:ascii="Calibri" w:hAnsi="Calibri"/>
        </w:rPr>
        <w:t xml:space="preserve">Technical Domain / </w:t>
      </w:r>
      <w:r w:rsidR="00A446C9" w:rsidRPr="004E2A4D">
        <w:rPr>
          <w:rFonts w:ascii="Calibri" w:hAnsi="Calibri"/>
        </w:rPr>
        <w:t>Task Number</w:t>
      </w:r>
      <w:r w:rsidR="00037DF4" w:rsidRPr="004E2A4D">
        <w:rPr>
          <w:rFonts w:ascii="Calibri" w:hAnsi="Calibri"/>
        </w:rPr>
        <w:t xml:space="preserve"> </w:t>
      </w:r>
      <w:r w:rsidR="00037DF4" w:rsidRPr="004E2A4D">
        <w:rPr>
          <w:rFonts w:ascii="Calibri" w:hAnsi="Calibri"/>
          <w:vertAlign w:val="superscript"/>
        </w:rPr>
        <w:t>2</w:t>
      </w:r>
      <w:r w:rsidR="001C44A3" w:rsidRPr="004E2A4D">
        <w:rPr>
          <w:rFonts w:ascii="Calibri" w:hAnsi="Calibri"/>
        </w:rPr>
        <w:tab/>
      </w:r>
      <w:r w:rsidR="00807CDF" w:rsidRPr="004E2A4D">
        <w:rPr>
          <w:rFonts w:ascii="Calibri" w:hAnsi="Calibri"/>
        </w:rPr>
        <w:t xml:space="preserve">TD#1 - Light and vision physics, Visual Signalling </w:t>
      </w:r>
      <w:r w:rsidR="00EF4EAC" w:rsidRPr="004E2A4D">
        <w:rPr>
          <w:rFonts w:ascii="Calibri" w:hAnsi="Calibri"/>
        </w:rPr>
        <w:t>/ 34</w:t>
      </w:r>
    </w:p>
    <w:p w14:paraId="01FC5420" w14:textId="425CEF3F" w:rsidR="00362CD9" w:rsidRPr="004E2A4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4E2A4D">
        <w:rPr>
          <w:rFonts w:ascii="Calibri" w:hAnsi="Calibri"/>
        </w:rPr>
        <w:t>Author(s)</w:t>
      </w:r>
      <w:r w:rsidR="00FE5674" w:rsidRPr="004E2A4D">
        <w:rPr>
          <w:rFonts w:ascii="Calibri" w:hAnsi="Calibri"/>
        </w:rPr>
        <w:t xml:space="preserve"> / Submitter(s)</w:t>
      </w:r>
      <w:r w:rsidRPr="004E2A4D">
        <w:rPr>
          <w:rFonts w:ascii="Calibri" w:hAnsi="Calibri"/>
        </w:rPr>
        <w:tab/>
      </w:r>
      <w:r w:rsidR="0080294B" w:rsidRPr="004E2A4D">
        <w:rPr>
          <w:rFonts w:ascii="Calibri" w:hAnsi="Calibri"/>
        </w:rPr>
        <w:tab/>
      </w:r>
      <w:r w:rsidR="0080294B" w:rsidRPr="004E2A4D">
        <w:rPr>
          <w:rFonts w:ascii="Calibri" w:hAnsi="Calibri"/>
        </w:rPr>
        <w:tab/>
      </w:r>
      <w:r w:rsidR="00945C17" w:rsidRPr="004E2A4D">
        <w:rPr>
          <w:rFonts w:ascii="Calibri" w:hAnsi="Calibri"/>
        </w:rPr>
        <w:t>Pärtel Keskküla</w:t>
      </w:r>
    </w:p>
    <w:p w14:paraId="60BCC120" w14:textId="77777777" w:rsidR="0080294B" w:rsidRPr="004E2A4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132053F0" w:rsidR="00A446C9" w:rsidRPr="004E2A4D" w:rsidRDefault="003D6C9E" w:rsidP="00A446C9">
      <w:pPr>
        <w:pStyle w:val="Title"/>
        <w:rPr>
          <w:rFonts w:ascii="Calibri" w:hAnsi="Calibri"/>
          <w:color w:val="0070C0"/>
        </w:rPr>
      </w:pPr>
      <w:r w:rsidRPr="004E2A4D">
        <w:rPr>
          <w:rFonts w:ascii="Calibri" w:hAnsi="Calibri"/>
          <w:color w:val="0070C0"/>
        </w:rPr>
        <w:t>Comments on the Present</w:t>
      </w:r>
      <w:r w:rsidR="005920DE" w:rsidRPr="004E2A4D">
        <w:rPr>
          <w:rFonts w:ascii="Calibri" w:hAnsi="Calibri"/>
          <w:color w:val="0070C0"/>
        </w:rPr>
        <w:t xml:space="preserve"> </w:t>
      </w:r>
      <w:r w:rsidR="004E2A4D">
        <w:rPr>
          <w:rFonts w:ascii="Calibri" w:hAnsi="Calibri"/>
          <w:color w:val="0070C0"/>
        </w:rPr>
        <w:t xml:space="preserve">IALA </w:t>
      </w:r>
      <w:r w:rsidR="005920DE" w:rsidRPr="004E2A4D">
        <w:rPr>
          <w:rFonts w:ascii="Calibri" w:hAnsi="Calibri"/>
          <w:color w:val="0070C0"/>
        </w:rPr>
        <w:t>Guidelines on Design of Leading Lines</w:t>
      </w:r>
    </w:p>
    <w:p w14:paraId="3795BBF9" w14:textId="77777777" w:rsidR="00EF4EAC" w:rsidRPr="004E2A4D" w:rsidRDefault="00EF4EAC" w:rsidP="00A446C9">
      <w:pPr>
        <w:pStyle w:val="Title"/>
        <w:rPr>
          <w:rFonts w:ascii="Calibri" w:hAnsi="Calibri"/>
        </w:rPr>
      </w:pPr>
    </w:p>
    <w:p w14:paraId="0F258596" w14:textId="50FB6E37" w:rsidR="00A446C9" w:rsidRPr="004E2A4D" w:rsidRDefault="00A446C9" w:rsidP="004E2A4D">
      <w:pPr>
        <w:pStyle w:val="Heading1"/>
      </w:pPr>
      <w:r w:rsidRPr="004E2A4D">
        <w:t>Summary</w:t>
      </w:r>
    </w:p>
    <w:p w14:paraId="2D829213" w14:textId="1E3F1316" w:rsidR="00BD4E6F" w:rsidRPr="004E2A4D" w:rsidRDefault="00945C17" w:rsidP="00945C17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 xml:space="preserve">In ENG3 members were requested to familiarise themselves with the documents relating to Recommendation E-112 for Leading Lights and Guideline 1023 </w:t>
      </w:r>
      <w:r w:rsidR="003D6C9E" w:rsidRPr="004E2A4D">
        <w:rPr>
          <w:rFonts w:ascii="Calibri" w:hAnsi="Calibri"/>
        </w:rPr>
        <w:t xml:space="preserve">on the Design of Leading Lines </w:t>
      </w:r>
      <w:r w:rsidRPr="004E2A4D">
        <w:rPr>
          <w:rFonts w:ascii="Calibri" w:hAnsi="Calibri"/>
        </w:rPr>
        <w:t xml:space="preserve">and provide input papers to ENG4 to support the update. </w:t>
      </w:r>
      <w:r w:rsidRPr="004E2A4D">
        <w:rPr>
          <w:rFonts w:ascii="Calibri" w:hAnsi="Calibri"/>
        </w:rPr>
        <w:cr/>
      </w:r>
    </w:p>
    <w:p w14:paraId="3C575A26" w14:textId="77777777" w:rsidR="001C44A3" w:rsidRPr="004E2A4D" w:rsidRDefault="00BD4E6F" w:rsidP="004E2A4D">
      <w:pPr>
        <w:pStyle w:val="Heading2"/>
      </w:pPr>
      <w:r w:rsidRPr="004E2A4D">
        <w:t>Purpose</w:t>
      </w:r>
      <w:r w:rsidR="004D1D85" w:rsidRPr="004E2A4D">
        <w:t xml:space="preserve"> of the document</w:t>
      </w:r>
    </w:p>
    <w:p w14:paraId="6F8C23AB" w14:textId="100A5CB2" w:rsidR="00945C17" w:rsidRPr="004E2A4D" w:rsidRDefault="00945C17" w:rsidP="00E55927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>The input is presented for information</w:t>
      </w:r>
      <w:r w:rsidR="0033726B" w:rsidRPr="004E2A4D">
        <w:rPr>
          <w:rFonts w:ascii="Calibri" w:hAnsi="Calibri"/>
        </w:rPr>
        <w:t xml:space="preserve"> with the aim of amending the</w:t>
      </w:r>
      <w:r w:rsidRPr="004E2A4D">
        <w:rPr>
          <w:rFonts w:ascii="Calibri" w:hAnsi="Calibri"/>
        </w:rPr>
        <w:t xml:space="preserve"> </w:t>
      </w:r>
      <w:r w:rsidR="005920DE" w:rsidRPr="004E2A4D">
        <w:rPr>
          <w:rFonts w:ascii="Calibri" w:hAnsi="Calibri"/>
        </w:rPr>
        <w:t xml:space="preserve">IALA </w:t>
      </w:r>
      <w:r w:rsidR="0033726B" w:rsidRPr="004E2A4D">
        <w:rPr>
          <w:rFonts w:ascii="Calibri" w:hAnsi="Calibri"/>
        </w:rPr>
        <w:t>Guideline 1023</w:t>
      </w:r>
      <w:r w:rsidRPr="004E2A4D">
        <w:rPr>
          <w:rFonts w:ascii="Calibri" w:hAnsi="Calibri"/>
        </w:rPr>
        <w:t>.</w:t>
      </w:r>
    </w:p>
    <w:p w14:paraId="36D645BE" w14:textId="77777777" w:rsidR="00B56BDF" w:rsidRPr="004E2A4D" w:rsidRDefault="00B56BDF" w:rsidP="004E2A4D">
      <w:pPr>
        <w:pStyle w:val="Heading2"/>
      </w:pPr>
      <w:r w:rsidRPr="004E2A4D">
        <w:t>Related documents</w:t>
      </w:r>
    </w:p>
    <w:p w14:paraId="4B68EFF5" w14:textId="6E2F53C2" w:rsidR="005920DE" w:rsidRPr="004E2A4D" w:rsidRDefault="00086309" w:rsidP="00B80189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 xml:space="preserve">Guideline 1023 </w:t>
      </w:r>
      <w:r w:rsidR="004A6C7A" w:rsidRPr="004E2A4D">
        <w:rPr>
          <w:rFonts w:ascii="Calibri" w:hAnsi="Calibri"/>
        </w:rPr>
        <w:t>on</w:t>
      </w:r>
      <w:r w:rsidRPr="004E2A4D">
        <w:rPr>
          <w:rFonts w:ascii="Calibri" w:hAnsi="Calibri"/>
        </w:rPr>
        <w:t xml:space="preserve"> the Design of Leading L</w:t>
      </w:r>
      <w:r w:rsidR="00B80189" w:rsidRPr="004E2A4D">
        <w:rPr>
          <w:rFonts w:ascii="Calibri" w:hAnsi="Calibri"/>
        </w:rPr>
        <w:t>ines</w:t>
      </w:r>
    </w:p>
    <w:p w14:paraId="53733F03" w14:textId="77777777" w:rsidR="00A446C9" w:rsidRPr="004E2A4D" w:rsidRDefault="00A446C9" w:rsidP="004E2A4D">
      <w:pPr>
        <w:pStyle w:val="Heading1"/>
      </w:pPr>
      <w:r w:rsidRPr="004E2A4D">
        <w:t>Background</w:t>
      </w:r>
    </w:p>
    <w:p w14:paraId="04F1A9E0" w14:textId="1BACAF0D" w:rsidR="005920DE" w:rsidRPr="004E2A4D" w:rsidRDefault="005920DE" w:rsidP="005920DE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 xml:space="preserve">The paper includes </w:t>
      </w:r>
      <w:r w:rsidR="007A6765" w:rsidRPr="004E2A4D">
        <w:rPr>
          <w:rFonts w:ascii="Calibri" w:hAnsi="Calibri"/>
        </w:rPr>
        <w:t xml:space="preserve">comments and </w:t>
      </w:r>
      <w:r w:rsidR="0033726B" w:rsidRPr="004E2A4D">
        <w:rPr>
          <w:rFonts w:ascii="Calibri" w:hAnsi="Calibri"/>
        </w:rPr>
        <w:t xml:space="preserve">recommendations on the </w:t>
      </w:r>
      <w:r w:rsidR="009F3BF4" w:rsidRPr="004E2A4D">
        <w:rPr>
          <w:rFonts w:ascii="Calibri" w:hAnsi="Calibri"/>
        </w:rPr>
        <w:t xml:space="preserve">present </w:t>
      </w:r>
      <w:r w:rsidR="0033726B" w:rsidRPr="004E2A4D">
        <w:rPr>
          <w:rFonts w:ascii="Calibri" w:hAnsi="Calibri"/>
        </w:rPr>
        <w:t xml:space="preserve">content of the </w:t>
      </w:r>
      <w:r w:rsidRPr="004E2A4D">
        <w:rPr>
          <w:rFonts w:ascii="Calibri" w:hAnsi="Calibri"/>
        </w:rPr>
        <w:t xml:space="preserve">IALA </w:t>
      </w:r>
      <w:r w:rsidR="0033726B" w:rsidRPr="004E2A4D">
        <w:rPr>
          <w:rFonts w:ascii="Calibri" w:hAnsi="Calibri"/>
        </w:rPr>
        <w:t>Guideline 1023</w:t>
      </w:r>
      <w:r w:rsidRPr="004E2A4D">
        <w:rPr>
          <w:rFonts w:ascii="Calibri" w:hAnsi="Calibri"/>
        </w:rPr>
        <w:t xml:space="preserve">. </w:t>
      </w:r>
    </w:p>
    <w:p w14:paraId="041E9135" w14:textId="77777777" w:rsidR="00A446C9" w:rsidRPr="004E2A4D" w:rsidRDefault="00A446C9" w:rsidP="004E2A4D">
      <w:pPr>
        <w:pStyle w:val="Heading1"/>
      </w:pPr>
      <w:r w:rsidRPr="004E2A4D">
        <w:t>Discussion</w:t>
      </w:r>
    </w:p>
    <w:p w14:paraId="5BE0B100" w14:textId="17100F5C" w:rsidR="00C110C1" w:rsidRPr="004E2A4D" w:rsidRDefault="00C110C1" w:rsidP="004E2A4D">
      <w:pPr>
        <w:pStyle w:val="Heading2"/>
      </w:pPr>
      <w:r w:rsidRPr="004E2A4D">
        <w:t>Comments and additions to consider in the existing IALA Guideline</w:t>
      </w:r>
      <w:r w:rsidR="00662733" w:rsidRPr="004E2A4D">
        <w:t xml:space="preserve"> by section numbers</w:t>
      </w:r>
    </w:p>
    <w:p w14:paraId="099C81C4" w14:textId="53B15E58" w:rsidR="00025D38" w:rsidRPr="004E2A4D" w:rsidRDefault="003D6C9E" w:rsidP="00025D38">
      <w:pPr>
        <w:pStyle w:val="BodyText"/>
        <w:rPr>
          <w:rFonts w:ascii="Calibri" w:hAnsi="Calibri"/>
          <w:u w:val="single"/>
        </w:rPr>
      </w:pPr>
      <w:r w:rsidRPr="004E2A4D">
        <w:rPr>
          <w:rFonts w:ascii="Calibri" w:hAnsi="Calibri"/>
          <w:u w:val="single"/>
        </w:rPr>
        <w:t xml:space="preserve">Section </w:t>
      </w:r>
      <w:r w:rsidR="00025D38" w:rsidRPr="004E2A4D">
        <w:rPr>
          <w:rFonts w:ascii="Calibri" w:hAnsi="Calibri"/>
          <w:u w:val="single"/>
        </w:rPr>
        <w:t xml:space="preserve">2.3 </w:t>
      </w:r>
    </w:p>
    <w:p w14:paraId="6BE76ACD" w14:textId="3045EC51" w:rsidR="00025D38" w:rsidRPr="004E2A4D" w:rsidRDefault="00025D38" w:rsidP="00025D38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„The preliminary decision in designing a leading line is</w:t>
      </w:r>
      <w:r w:rsidR="00047BF5" w:rsidRPr="004E2A4D">
        <w:rPr>
          <w:rFonts w:ascii="Calibri" w:hAnsi="Calibri"/>
          <w:i/>
        </w:rPr>
        <w:t xml:space="preserve"> </w:t>
      </w:r>
      <w:r w:rsidRPr="004E2A4D">
        <w:rPr>
          <w:rFonts w:ascii="Calibri" w:hAnsi="Calibri"/>
          <w:i/>
        </w:rPr>
        <w:t>to specify the segment of water to be defined by the leading line.“</w:t>
      </w:r>
    </w:p>
    <w:p w14:paraId="4FD0FBFA" w14:textId="27F918E2" w:rsidR="006D4586" w:rsidRPr="004E2A4D" w:rsidRDefault="00025D38" w:rsidP="00025D38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>I would say „to be marked with the leading line“. Defining segments of a water body are already done by the nature.</w:t>
      </w:r>
    </w:p>
    <w:p w14:paraId="46BBB3DA" w14:textId="567D4B4E" w:rsidR="00025D38" w:rsidRPr="004E2A4D" w:rsidRDefault="003D6C9E" w:rsidP="00025D38">
      <w:pPr>
        <w:pStyle w:val="BodyText"/>
        <w:rPr>
          <w:rFonts w:ascii="Calibri" w:hAnsi="Calibri"/>
          <w:u w:val="single"/>
        </w:rPr>
      </w:pPr>
      <w:r w:rsidRPr="004E2A4D">
        <w:rPr>
          <w:rFonts w:ascii="Calibri" w:hAnsi="Calibri"/>
          <w:u w:val="single"/>
        </w:rPr>
        <w:t xml:space="preserve">Section </w:t>
      </w:r>
      <w:r w:rsidR="00025D38" w:rsidRPr="004E2A4D">
        <w:rPr>
          <w:rFonts w:ascii="Calibri" w:hAnsi="Calibri"/>
          <w:u w:val="single"/>
        </w:rPr>
        <w:t xml:space="preserve">2.5.1 Figure 2-5. </w:t>
      </w:r>
    </w:p>
    <w:p w14:paraId="7D083D87" w14:textId="29EF79E7" w:rsidR="00025D38" w:rsidRPr="004E2A4D" w:rsidRDefault="00025D38" w:rsidP="00025D38">
      <w:pPr>
        <w:pStyle w:val="BodyText"/>
        <w:spacing w:after="0"/>
        <w:rPr>
          <w:rFonts w:ascii="Calibri" w:hAnsi="Calibri"/>
        </w:rPr>
      </w:pPr>
      <w:r w:rsidRPr="004E2A4D">
        <w:rPr>
          <w:rFonts w:ascii="Calibri" w:hAnsi="Calibri"/>
        </w:rPr>
        <w:t>Showing the difference in cross-track factors graphically too would be more illustrative.</w:t>
      </w:r>
    </w:p>
    <w:p w14:paraId="1691DC46" w14:textId="77777777" w:rsidR="00C110C1" w:rsidRPr="004E2A4D" w:rsidRDefault="00C110C1" w:rsidP="003F0D4C">
      <w:pPr>
        <w:pStyle w:val="BodyText"/>
        <w:spacing w:after="0"/>
        <w:rPr>
          <w:rFonts w:ascii="Calibri" w:hAnsi="Calibri"/>
        </w:rPr>
      </w:pPr>
    </w:p>
    <w:p w14:paraId="555726A4" w14:textId="29FCDD0F" w:rsidR="00025D38" w:rsidRPr="004E2A4D" w:rsidRDefault="003D6C9E" w:rsidP="00025D38">
      <w:pPr>
        <w:pStyle w:val="BodyText"/>
        <w:rPr>
          <w:rFonts w:ascii="Calibri" w:hAnsi="Calibri"/>
          <w:u w:val="single"/>
        </w:rPr>
      </w:pPr>
      <w:r w:rsidRPr="004E2A4D">
        <w:rPr>
          <w:rFonts w:ascii="Calibri" w:hAnsi="Calibri"/>
          <w:u w:val="single"/>
        </w:rPr>
        <w:t xml:space="preserve">Section </w:t>
      </w:r>
      <w:r w:rsidR="00025D38" w:rsidRPr="004E2A4D">
        <w:rPr>
          <w:rFonts w:ascii="Calibri" w:hAnsi="Calibri"/>
          <w:u w:val="single"/>
        </w:rPr>
        <w:t>2.9 Standard Leading Line Characteristics</w:t>
      </w:r>
    </w:p>
    <w:p w14:paraId="0B723367" w14:textId="77777777" w:rsidR="00025D38" w:rsidRPr="004E2A4D" w:rsidRDefault="00025D38" w:rsidP="00025D38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>Actually there is not much written about standard characters there.</w:t>
      </w:r>
    </w:p>
    <w:p w14:paraId="7CC9F095" w14:textId="73CD6DEE" w:rsidR="00025D38" w:rsidRPr="004E2A4D" w:rsidRDefault="00025D38" w:rsidP="00025D38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>For example Russian guideline says about selecting the characters for leading lights:</w:t>
      </w:r>
    </w:p>
    <w:p w14:paraId="6A1F76FE" w14:textId="063908EF" w:rsidR="00025D38" w:rsidRPr="004E2A4D" w:rsidRDefault="00025D38" w:rsidP="00025D38">
      <w:pPr>
        <w:pStyle w:val="Bullet2"/>
        <w:ind w:left="1701" w:hanging="567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When using flashing lights they should be synchronised if possible.</w:t>
      </w:r>
    </w:p>
    <w:p w14:paraId="5424D9A5" w14:textId="4979336E" w:rsidR="00025D38" w:rsidRPr="004E2A4D" w:rsidRDefault="00025D38" w:rsidP="00025D38">
      <w:pPr>
        <w:pStyle w:val="Bullet2"/>
        <w:ind w:left="1701" w:hanging="567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If leading lights are not synchronised, the duration of the flashes and the periods of the lights on the front marks must be shorter than on the rear marks.</w:t>
      </w:r>
    </w:p>
    <w:p w14:paraId="24BE73F2" w14:textId="6A899ACA" w:rsidR="00025D38" w:rsidRPr="004E2A4D" w:rsidRDefault="00025D38" w:rsidP="00025D38">
      <w:pPr>
        <w:pStyle w:val="Bullet2"/>
        <w:ind w:left="1701" w:hanging="567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Duration of flashes must not be shorter than 0,5 s.</w:t>
      </w:r>
    </w:p>
    <w:p w14:paraId="3972DF0F" w14:textId="49F22F09" w:rsidR="00025D38" w:rsidRPr="004E2A4D" w:rsidRDefault="00025D38" w:rsidP="00025D38">
      <w:pPr>
        <w:pStyle w:val="Bullet2"/>
        <w:ind w:left="1701" w:hanging="567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Duration of flashes on rear marks is to be selected so that maximum possible overlap of the flashes of the leading lights is acquired in both frequency and duration.</w:t>
      </w:r>
    </w:p>
    <w:p w14:paraId="06E41B9E" w14:textId="05CD2A16" w:rsidR="00025D38" w:rsidRPr="004E2A4D" w:rsidRDefault="00025D38" w:rsidP="00025D38">
      <w:pPr>
        <w:pStyle w:val="Bullet2"/>
        <w:ind w:left="1701" w:hanging="567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As a rule, the lights of front and rear lights have to be of the same colour.</w:t>
      </w:r>
    </w:p>
    <w:p w14:paraId="1ADA216A" w14:textId="64B96030" w:rsidR="00662733" w:rsidRPr="004E2A4D" w:rsidRDefault="003D6C9E" w:rsidP="00662733">
      <w:pPr>
        <w:pStyle w:val="BodyText"/>
        <w:rPr>
          <w:rFonts w:ascii="Calibri" w:hAnsi="Calibri"/>
          <w:u w:val="single"/>
        </w:rPr>
      </w:pPr>
      <w:r w:rsidRPr="004E2A4D">
        <w:rPr>
          <w:rFonts w:ascii="Calibri" w:hAnsi="Calibri"/>
          <w:u w:val="single"/>
        </w:rPr>
        <w:t xml:space="preserve">Section </w:t>
      </w:r>
      <w:r w:rsidR="00662733" w:rsidRPr="004E2A4D">
        <w:rPr>
          <w:rFonts w:ascii="Calibri" w:hAnsi="Calibri"/>
          <w:u w:val="single"/>
        </w:rPr>
        <w:t>2.8 Considerations Regarding Intensities.</w:t>
      </w:r>
    </w:p>
    <w:p w14:paraId="3D40AEDB" w14:textId="579D080C" w:rsidR="00662733" w:rsidRPr="004E2A4D" w:rsidRDefault="00662733" w:rsidP="0066273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 xml:space="preserve">Uniform recommendations about different additional factors for making leading lights “even better” would be </w:t>
      </w:r>
      <w:r w:rsidR="00D32A9B" w:rsidRPr="004E2A4D">
        <w:rPr>
          <w:rFonts w:ascii="Calibri" w:hAnsi="Calibri"/>
        </w:rPr>
        <w:t>good</w:t>
      </w:r>
      <w:r w:rsidRPr="004E2A4D">
        <w:rPr>
          <w:rFonts w:ascii="Calibri" w:hAnsi="Calibri"/>
        </w:rPr>
        <w:t>.</w:t>
      </w:r>
    </w:p>
    <w:p w14:paraId="7580EF1B" w14:textId="43F03E24" w:rsidR="00662733" w:rsidRPr="004E2A4D" w:rsidRDefault="00CF0095" w:rsidP="0066273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>T</w:t>
      </w:r>
      <w:r w:rsidR="00662733" w:rsidRPr="004E2A4D">
        <w:rPr>
          <w:rFonts w:ascii="Calibri" w:hAnsi="Calibri"/>
        </w:rPr>
        <w:t>he IALA Guideline</w:t>
      </w:r>
      <w:r w:rsidRPr="004E2A4D">
        <w:rPr>
          <w:rFonts w:ascii="Calibri" w:hAnsi="Calibri"/>
        </w:rPr>
        <w:t xml:space="preserve"> 1023 recommends to use </w:t>
      </w:r>
      <w:r w:rsidR="00C92133" w:rsidRPr="004E2A4D">
        <w:rPr>
          <w:rFonts w:ascii="Calibri" w:hAnsi="Calibri"/>
        </w:rPr>
        <w:t>90%-</w:t>
      </w:r>
      <w:r w:rsidRPr="004E2A4D">
        <w:rPr>
          <w:rFonts w:ascii="Calibri" w:hAnsi="Calibri"/>
        </w:rPr>
        <w:t>of</w:t>
      </w:r>
      <w:r w:rsidR="00C92133" w:rsidRPr="004E2A4D">
        <w:rPr>
          <w:rFonts w:ascii="Calibri" w:hAnsi="Calibri"/>
        </w:rPr>
        <w:t>-</w:t>
      </w:r>
      <w:r w:rsidRPr="004E2A4D">
        <w:rPr>
          <w:rFonts w:ascii="Calibri" w:hAnsi="Calibri"/>
        </w:rPr>
        <w:t>the</w:t>
      </w:r>
      <w:r w:rsidR="00C92133" w:rsidRPr="004E2A4D">
        <w:rPr>
          <w:rFonts w:ascii="Calibri" w:hAnsi="Calibri"/>
        </w:rPr>
        <w:t>-time-</w:t>
      </w:r>
      <w:r w:rsidRPr="004E2A4D">
        <w:rPr>
          <w:rFonts w:ascii="Calibri" w:hAnsi="Calibri"/>
        </w:rPr>
        <w:t>visibility</w:t>
      </w:r>
      <w:r w:rsidR="00662733" w:rsidRPr="004E2A4D">
        <w:rPr>
          <w:rFonts w:ascii="Calibri" w:hAnsi="Calibri"/>
        </w:rPr>
        <w:t>, Fr</w:t>
      </w:r>
      <w:r w:rsidR="00C92133" w:rsidRPr="004E2A4D">
        <w:rPr>
          <w:rFonts w:ascii="Calibri" w:hAnsi="Calibri"/>
        </w:rPr>
        <w:t>ank Hermann mentioned using 95%-of-the-</w:t>
      </w:r>
      <w:r w:rsidR="00C92133" w:rsidRPr="004E2A4D">
        <w:rPr>
          <w:rFonts w:ascii="Calibri" w:hAnsi="Calibri"/>
        </w:rPr>
        <w:softHyphen/>
        <w:t>time-</w:t>
      </w:r>
      <w:r w:rsidR="00662733" w:rsidRPr="004E2A4D">
        <w:rPr>
          <w:rFonts w:ascii="Calibri" w:hAnsi="Calibri"/>
        </w:rPr>
        <w:t xml:space="preserve">visibility in Germany, E-200-2 says that </w:t>
      </w:r>
      <w:r w:rsidR="00662733" w:rsidRPr="004E2A4D">
        <w:rPr>
          <w:rFonts w:ascii="Calibri" w:hAnsi="Calibri"/>
          <w:i/>
        </w:rPr>
        <w:t>„when selecting a light, this [prevailing visibility conditions] should be taken into account“</w:t>
      </w:r>
      <w:r w:rsidR="00662733" w:rsidRPr="004E2A4D">
        <w:rPr>
          <w:rFonts w:ascii="Calibri" w:hAnsi="Calibri"/>
        </w:rPr>
        <w:t>. Could there be one common recommended value</w:t>
      </w:r>
      <w:r w:rsidR="00FE5E7C" w:rsidRPr="004E2A4D">
        <w:rPr>
          <w:rFonts w:ascii="Calibri" w:hAnsi="Calibri"/>
        </w:rPr>
        <w:t xml:space="preserve"> of percentage a</w:t>
      </w:r>
      <w:r w:rsidR="00662733" w:rsidRPr="004E2A4D">
        <w:rPr>
          <w:rFonts w:ascii="Calibri" w:hAnsi="Calibri"/>
        </w:rPr>
        <w:t>nd</w:t>
      </w:r>
      <w:r w:rsidR="00C92133" w:rsidRPr="004E2A4D">
        <w:rPr>
          <w:rFonts w:ascii="Calibri" w:hAnsi="Calibri"/>
        </w:rPr>
        <w:t xml:space="preserve"> </w:t>
      </w:r>
      <w:r w:rsidR="00FE5E7C" w:rsidRPr="004E2A4D">
        <w:rPr>
          <w:rFonts w:ascii="Calibri" w:hAnsi="Calibri"/>
        </w:rPr>
        <w:t>some standard values in the absence of more detailed data</w:t>
      </w:r>
      <w:r w:rsidR="00662733" w:rsidRPr="004E2A4D">
        <w:rPr>
          <w:rFonts w:ascii="Calibri" w:hAnsi="Calibri"/>
        </w:rPr>
        <w:t>?</w:t>
      </w:r>
    </w:p>
    <w:p w14:paraId="6E61E00F" w14:textId="38B054F0" w:rsidR="00662733" w:rsidRPr="004E2A4D" w:rsidRDefault="00662733" w:rsidP="0066273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>In ad</w:t>
      </w:r>
      <w:r w:rsidR="00FE5E7C" w:rsidRPr="004E2A4D">
        <w:rPr>
          <w:rFonts w:ascii="Calibri" w:hAnsi="Calibri"/>
        </w:rPr>
        <w:t xml:space="preserve">dition to the worst visibility </w:t>
      </w:r>
      <w:r w:rsidRPr="004E2A4D">
        <w:rPr>
          <w:rFonts w:ascii="Calibri" w:hAnsi="Calibri"/>
        </w:rPr>
        <w:t xml:space="preserve">10 </w:t>
      </w:r>
      <w:r w:rsidR="00FE5E7C" w:rsidRPr="004E2A4D">
        <w:rPr>
          <w:rFonts w:ascii="Calibri" w:hAnsi="Calibri"/>
        </w:rPr>
        <w:t xml:space="preserve">times more intensity </w:t>
      </w:r>
      <w:r w:rsidRPr="004E2A4D">
        <w:rPr>
          <w:rFonts w:ascii="Calibri" w:hAnsi="Calibri"/>
        </w:rPr>
        <w:t xml:space="preserve">is recommended </w:t>
      </w:r>
      <w:r w:rsidR="00FE5E7C" w:rsidRPr="004E2A4D">
        <w:rPr>
          <w:rFonts w:ascii="Calibri" w:hAnsi="Calibri"/>
        </w:rPr>
        <w:t xml:space="preserve">„for better signal“ </w:t>
      </w:r>
      <w:r w:rsidRPr="004E2A4D">
        <w:rPr>
          <w:rFonts w:ascii="Calibri" w:hAnsi="Calibri"/>
        </w:rPr>
        <w:t>in the IALA Guideline</w:t>
      </w:r>
      <w:r w:rsidR="00FE5E7C" w:rsidRPr="004E2A4D">
        <w:rPr>
          <w:rFonts w:ascii="Calibri" w:hAnsi="Calibri"/>
        </w:rPr>
        <w:t xml:space="preserve"> 1023</w:t>
      </w:r>
      <w:r w:rsidRPr="004E2A4D">
        <w:rPr>
          <w:rFonts w:ascii="Calibri" w:hAnsi="Calibri"/>
        </w:rPr>
        <w:t>. It is not recommended anywhere else. Is it leading line specific? Is it still recommended?</w:t>
      </w:r>
    </w:p>
    <w:p w14:paraId="74BC3195" w14:textId="4C94F5A0" w:rsidR="00C110C1" w:rsidRPr="004E2A4D" w:rsidRDefault="00662733" w:rsidP="00662733">
      <w:pPr>
        <w:pStyle w:val="BodyText"/>
        <w:spacing w:after="0"/>
        <w:rPr>
          <w:rFonts w:ascii="Calibri" w:hAnsi="Calibri"/>
        </w:rPr>
      </w:pPr>
      <w:r w:rsidRPr="004E2A4D">
        <w:rPr>
          <w:rFonts w:ascii="Calibri" w:hAnsi="Calibri"/>
        </w:rPr>
        <w:t xml:space="preserve">Considering background lighting Finnish guideline recommends factors of 2 and 10, IALA recommends 10 and 100 for multiplying the intensity. Could there be danger of </w:t>
      </w:r>
      <w:r w:rsidR="00F50CAF" w:rsidRPr="004E2A4D">
        <w:rPr>
          <w:rFonts w:ascii="Calibri" w:hAnsi="Calibri"/>
        </w:rPr>
        <w:t>blinding</w:t>
      </w:r>
      <w:r w:rsidRPr="004E2A4D">
        <w:rPr>
          <w:rFonts w:ascii="Calibri" w:hAnsi="Calibri"/>
        </w:rPr>
        <w:t xml:space="preserve"> after adding up all these coefficients?</w:t>
      </w:r>
      <w:r w:rsidR="00F50CAF" w:rsidRPr="004E2A4D">
        <w:rPr>
          <w:rFonts w:ascii="Calibri" w:hAnsi="Calibri"/>
        </w:rPr>
        <w:t xml:space="preserve"> And there are also factors for service conditions and aging of the light source.</w:t>
      </w:r>
    </w:p>
    <w:p w14:paraId="13C5713E" w14:textId="77777777" w:rsidR="00F50CAF" w:rsidRPr="004E2A4D" w:rsidRDefault="00F50CAF" w:rsidP="00662733">
      <w:pPr>
        <w:pStyle w:val="BodyText"/>
        <w:spacing w:after="0"/>
        <w:rPr>
          <w:rFonts w:ascii="Calibri" w:hAnsi="Calibri"/>
        </w:rPr>
      </w:pPr>
    </w:p>
    <w:p w14:paraId="7CAD43E4" w14:textId="36AC062D" w:rsidR="00F50CAF" w:rsidRPr="004E2A4D" w:rsidRDefault="003D6C9E" w:rsidP="00F50CAF">
      <w:pPr>
        <w:pStyle w:val="BodyText"/>
        <w:rPr>
          <w:rFonts w:ascii="Calibri" w:hAnsi="Calibri"/>
          <w:u w:val="single"/>
        </w:rPr>
      </w:pPr>
      <w:r w:rsidRPr="004E2A4D">
        <w:rPr>
          <w:rFonts w:ascii="Calibri" w:hAnsi="Calibri"/>
          <w:u w:val="single"/>
        </w:rPr>
        <w:t xml:space="preserve">Section </w:t>
      </w:r>
      <w:r w:rsidR="00F50CAF" w:rsidRPr="004E2A4D">
        <w:rPr>
          <w:rFonts w:ascii="Calibri" w:hAnsi="Calibri"/>
          <w:u w:val="single"/>
        </w:rPr>
        <w:t>4.3 Problem codes and fixes</w:t>
      </w:r>
      <w:r w:rsidR="00B33813" w:rsidRPr="004E2A4D">
        <w:rPr>
          <w:rFonts w:ascii="Calibri" w:hAnsi="Calibri"/>
          <w:u w:val="single"/>
        </w:rPr>
        <w:t xml:space="preserve"> – </w:t>
      </w:r>
      <w:r w:rsidR="00F50CAF" w:rsidRPr="004E2A4D">
        <w:rPr>
          <w:rFonts w:ascii="Calibri" w:hAnsi="Calibri"/>
          <w:u w:val="single"/>
        </w:rPr>
        <w:t>editorial</w:t>
      </w:r>
    </w:p>
    <w:p w14:paraId="1E1281CF" w14:textId="264BAD7A" w:rsidR="00F50CAF" w:rsidRPr="004E2A4D" w:rsidRDefault="00F50CAF" w:rsidP="00F50CAF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 xml:space="preserve">4. – There is one </w:t>
      </w:r>
      <w:r w:rsidRPr="004E2A4D">
        <w:rPr>
          <w:rFonts w:ascii="Calibri" w:hAnsi="Calibri"/>
          <w:i/>
        </w:rPr>
        <w:t>dayboard</w:t>
      </w:r>
      <w:r w:rsidR="00047BF5" w:rsidRPr="004E2A4D">
        <w:rPr>
          <w:rFonts w:ascii="Calibri" w:hAnsi="Calibri"/>
        </w:rPr>
        <w:t xml:space="preserve"> among</w:t>
      </w:r>
      <w:r w:rsidRPr="004E2A4D">
        <w:rPr>
          <w:rFonts w:ascii="Calibri" w:hAnsi="Calibri"/>
        </w:rPr>
        <w:t xml:space="preserve"> all the </w:t>
      </w:r>
      <w:r w:rsidR="00047BF5" w:rsidRPr="004E2A4D">
        <w:rPr>
          <w:rFonts w:ascii="Calibri" w:hAnsi="Calibri"/>
          <w:i/>
        </w:rPr>
        <w:t>daymarks</w:t>
      </w:r>
      <w:r w:rsidR="00047BF5" w:rsidRPr="004E2A4D">
        <w:rPr>
          <w:rFonts w:ascii="Calibri" w:hAnsi="Calibri"/>
        </w:rPr>
        <w:t>.</w:t>
      </w:r>
    </w:p>
    <w:p w14:paraId="4AB2954B" w14:textId="0075C60B" w:rsidR="00F50CAF" w:rsidRPr="004E2A4D" w:rsidRDefault="003D6C9E" w:rsidP="00F50CAF">
      <w:pPr>
        <w:pStyle w:val="BodyText"/>
        <w:rPr>
          <w:rFonts w:ascii="Calibri" w:hAnsi="Calibri"/>
          <w:u w:val="single"/>
        </w:rPr>
      </w:pPr>
      <w:r w:rsidRPr="004E2A4D">
        <w:rPr>
          <w:rFonts w:ascii="Calibri" w:hAnsi="Calibri"/>
          <w:u w:val="single"/>
        </w:rPr>
        <w:t xml:space="preserve">Section </w:t>
      </w:r>
      <w:r w:rsidR="00F50CAF" w:rsidRPr="004E2A4D">
        <w:rPr>
          <w:rFonts w:ascii="Calibri" w:hAnsi="Calibri"/>
          <w:u w:val="single"/>
        </w:rPr>
        <w:t>4.4 Maximum Intensity less than Minimum Intensity</w:t>
      </w:r>
    </w:p>
    <w:p w14:paraId="401638C3" w14:textId="1F9F4F32" w:rsidR="00F50CAF" w:rsidRPr="004E2A4D" w:rsidRDefault="00047BF5" w:rsidP="00F50CAF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“</w:t>
      </w:r>
      <w:r w:rsidR="00F50CAF" w:rsidRPr="004E2A4D">
        <w:rPr>
          <w:rFonts w:ascii="Calibri" w:hAnsi="Calibri"/>
          <w:i/>
        </w:rPr>
        <w:t>Another way to reduce glare is to set the focal heights of the lights so as to be significantly different from the primary HOE</w:t>
      </w:r>
      <w:r w:rsidRPr="004E2A4D">
        <w:rPr>
          <w:rFonts w:ascii="Calibri" w:hAnsi="Calibri"/>
          <w:i/>
        </w:rPr>
        <w:t xml:space="preserve"> for vessels using the channel.”</w:t>
      </w:r>
    </w:p>
    <w:p w14:paraId="51C8D2CC" w14:textId="2EE9D580" w:rsidR="00F50CAF" w:rsidRPr="004E2A4D" w:rsidRDefault="00047BF5" w:rsidP="00F50CAF">
      <w:pPr>
        <w:pStyle w:val="BodyText"/>
        <w:spacing w:after="0"/>
        <w:rPr>
          <w:rFonts w:ascii="Calibri" w:hAnsi="Calibri"/>
        </w:rPr>
      </w:pPr>
      <w:r w:rsidRPr="004E2A4D">
        <w:rPr>
          <w:rFonts w:ascii="Calibri" w:hAnsi="Calibri"/>
        </w:rPr>
        <w:t>Could</w:t>
      </w:r>
      <w:r w:rsidR="00F50CAF" w:rsidRPr="004E2A4D">
        <w:rPr>
          <w:rFonts w:ascii="Calibri" w:hAnsi="Calibri"/>
        </w:rPr>
        <w:t xml:space="preserve"> tilting/directing the lantern a bit upwards do the trick as well?</w:t>
      </w:r>
    </w:p>
    <w:p w14:paraId="5BB04CF1" w14:textId="77777777" w:rsidR="00047BF5" w:rsidRPr="004E2A4D" w:rsidRDefault="00047BF5" w:rsidP="00F50CAF">
      <w:pPr>
        <w:pStyle w:val="BodyText"/>
        <w:spacing w:after="0"/>
        <w:rPr>
          <w:rFonts w:ascii="Calibri" w:hAnsi="Calibri"/>
        </w:rPr>
      </w:pPr>
    </w:p>
    <w:p w14:paraId="3AA14E1F" w14:textId="413B315E" w:rsidR="00047BF5" w:rsidRPr="004E2A4D" w:rsidRDefault="003D6C9E" w:rsidP="00047BF5">
      <w:pPr>
        <w:pStyle w:val="BodyText"/>
        <w:rPr>
          <w:rFonts w:ascii="Calibri" w:hAnsi="Calibri"/>
          <w:u w:val="single"/>
        </w:rPr>
      </w:pPr>
      <w:r w:rsidRPr="004E2A4D">
        <w:rPr>
          <w:rFonts w:ascii="Calibri" w:hAnsi="Calibri"/>
          <w:u w:val="single"/>
        </w:rPr>
        <w:t xml:space="preserve">Section </w:t>
      </w:r>
      <w:r w:rsidR="00047BF5" w:rsidRPr="004E2A4D">
        <w:rPr>
          <w:rFonts w:ascii="Calibri" w:hAnsi="Calibri"/>
          <w:u w:val="single"/>
        </w:rPr>
        <w:t xml:space="preserve">4.5 Maximum Intensity less than Recommended Intensity </w:t>
      </w:r>
      <w:r w:rsidR="00047BF5" w:rsidRPr="004E2A4D">
        <w:rPr>
          <w:rFonts w:ascii="Calibri" w:hAnsi="Calibri"/>
          <w:u w:val="single"/>
        </w:rPr>
        <w:tab/>
      </w:r>
      <w:r w:rsidR="00047BF5" w:rsidRPr="004E2A4D">
        <w:rPr>
          <w:rFonts w:ascii="Calibri" w:hAnsi="Calibri"/>
          <w:i/>
          <w:u w:val="single"/>
        </w:rPr>
        <w:t>editorial</w:t>
      </w:r>
    </w:p>
    <w:p w14:paraId="1584914B" w14:textId="2ED90210" w:rsidR="00047BF5" w:rsidRPr="004E2A4D" w:rsidRDefault="00047BF5" w:rsidP="00047BF5">
      <w:pPr>
        <w:pStyle w:val="BodyText"/>
        <w:spacing w:after="0"/>
        <w:rPr>
          <w:rFonts w:ascii="Calibri" w:hAnsi="Calibri"/>
        </w:rPr>
      </w:pPr>
      <w:r w:rsidRPr="004E2A4D">
        <w:rPr>
          <w:rFonts w:ascii="Calibri" w:hAnsi="Calibri"/>
        </w:rPr>
        <w:t xml:space="preserve">The sixth word in the third sentence should be </w:t>
      </w:r>
      <w:r w:rsidRPr="004E2A4D">
        <w:rPr>
          <w:rFonts w:ascii="Calibri" w:hAnsi="Calibri"/>
          <w:i/>
        </w:rPr>
        <w:t>then</w:t>
      </w:r>
      <w:r w:rsidRPr="004E2A4D">
        <w:rPr>
          <w:rFonts w:ascii="Calibri" w:hAnsi="Calibri"/>
        </w:rPr>
        <w:t xml:space="preserve"> instead of </w:t>
      </w:r>
      <w:r w:rsidRPr="004E2A4D">
        <w:rPr>
          <w:rFonts w:ascii="Calibri" w:hAnsi="Calibri"/>
          <w:i/>
        </w:rPr>
        <w:t>than</w:t>
      </w:r>
      <w:r w:rsidRPr="004E2A4D">
        <w:rPr>
          <w:rFonts w:ascii="Calibri" w:hAnsi="Calibri"/>
        </w:rPr>
        <w:t>.</w:t>
      </w:r>
    </w:p>
    <w:p w14:paraId="19C6B8A0" w14:textId="77777777" w:rsidR="00047BF5" w:rsidRPr="004E2A4D" w:rsidRDefault="00047BF5" w:rsidP="00F50CAF">
      <w:pPr>
        <w:pStyle w:val="BodyText"/>
        <w:spacing w:after="0"/>
        <w:rPr>
          <w:rFonts w:ascii="Calibri" w:hAnsi="Calibri"/>
        </w:rPr>
      </w:pPr>
    </w:p>
    <w:p w14:paraId="3EFBD771" w14:textId="16E1C4C9" w:rsidR="00047BF5" w:rsidRPr="004E2A4D" w:rsidRDefault="003D6C9E" w:rsidP="00047BF5">
      <w:pPr>
        <w:pStyle w:val="BodyText"/>
        <w:rPr>
          <w:rFonts w:ascii="Calibri" w:hAnsi="Calibri"/>
          <w:u w:val="single"/>
        </w:rPr>
      </w:pPr>
      <w:r w:rsidRPr="004E2A4D">
        <w:rPr>
          <w:rFonts w:ascii="Calibri" w:hAnsi="Calibri"/>
          <w:u w:val="single"/>
        </w:rPr>
        <w:t xml:space="preserve">Section </w:t>
      </w:r>
      <w:r w:rsidR="00047BF5" w:rsidRPr="004E2A4D">
        <w:rPr>
          <w:rFonts w:ascii="Calibri" w:hAnsi="Calibri"/>
          <w:u w:val="single"/>
        </w:rPr>
        <w:t>5 Leading Line Configurations &amp; Design Constraints</w:t>
      </w:r>
    </w:p>
    <w:p w14:paraId="77A58573" w14:textId="3B90A2BA" w:rsidR="00047BF5" w:rsidRPr="004E2A4D" w:rsidRDefault="00047BF5" w:rsidP="00047BF5">
      <w:pPr>
        <w:pStyle w:val="BodyText"/>
        <w:spacing w:after="0"/>
        <w:rPr>
          <w:rFonts w:ascii="Calibri" w:hAnsi="Calibri"/>
        </w:rPr>
      </w:pPr>
      <w:r w:rsidRPr="004E2A4D">
        <w:rPr>
          <w:rFonts w:ascii="Calibri" w:hAnsi="Calibri"/>
        </w:rPr>
        <w:t>Are all of them (safety, servicing conditions etc) somehow leading marks specific? There is an IALA recommendation for safety aspects.</w:t>
      </w:r>
    </w:p>
    <w:p w14:paraId="51B17E36" w14:textId="77777777" w:rsidR="00F50CAF" w:rsidRPr="004E2A4D" w:rsidRDefault="00F50CAF" w:rsidP="00662733">
      <w:pPr>
        <w:pStyle w:val="BodyText"/>
        <w:spacing w:after="0"/>
        <w:rPr>
          <w:rFonts w:ascii="Calibri" w:hAnsi="Calibri"/>
        </w:rPr>
      </w:pPr>
    </w:p>
    <w:p w14:paraId="72E8C3F7" w14:textId="6E470598" w:rsidR="00047BF5" w:rsidRPr="004E2A4D" w:rsidRDefault="003D6C9E" w:rsidP="00047BF5">
      <w:pPr>
        <w:pStyle w:val="BodyText"/>
        <w:rPr>
          <w:rFonts w:ascii="Calibri" w:hAnsi="Calibri"/>
          <w:u w:val="single"/>
        </w:rPr>
      </w:pPr>
      <w:r w:rsidRPr="004E2A4D">
        <w:rPr>
          <w:rFonts w:ascii="Calibri" w:hAnsi="Calibri"/>
          <w:u w:val="single"/>
        </w:rPr>
        <w:t xml:space="preserve">Section </w:t>
      </w:r>
      <w:r w:rsidR="00047BF5" w:rsidRPr="004E2A4D">
        <w:rPr>
          <w:rFonts w:ascii="Calibri" w:hAnsi="Calibri"/>
          <w:u w:val="single"/>
        </w:rPr>
        <w:t>5.8 Daymarks</w:t>
      </w:r>
      <w:r w:rsidR="00047BF5" w:rsidRPr="004E2A4D">
        <w:rPr>
          <w:rFonts w:ascii="Calibri" w:hAnsi="Calibri"/>
          <w:u w:val="single"/>
        </w:rPr>
        <w:tab/>
      </w:r>
    </w:p>
    <w:p w14:paraId="66B2E0C6" w14:textId="32B4CDE4" w:rsidR="00047BF5" w:rsidRPr="004E2A4D" w:rsidRDefault="00047BF5" w:rsidP="00047BF5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“Use of day/night lights is encouraged on ranges requiring marks in excess of 3 m in length, as these marks are the most hazardous to replace.”</w:t>
      </w:r>
    </w:p>
    <w:p w14:paraId="1F5F8941" w14:textId="4F2E81A1" w:rsidR="006D4586" w:rsidRPr="004E2A4D" w:rsidRDefault="00B33813" w:rsidP="00047BF5">
      <w:pPr>
        <w:pStyle w:val="BodyText"/>
        <w:spacing w:after="0"/>
        <w:rPr>
          <w:rFonts w:ascii="Calibri" w:hAnsi="Calibri"/>
        </w:rPr>
      </w:pPr>
      <w:r w:rsidRPr="004E2A4D">
        <w:rPr>
          <w:rFonts w:ascii="Calibri" w:hAnsi="Calibri"/>
        </w:rPr>
        <w:t>W</w:t>
      </w:r>
      <w:r w:rsidR="00047BF5" w:rsidRPr="004E2A4D">
        <w:rPr>
          <w:rFonts w:ascii="Calibri" w:hAnsi="Calibri"/>
        </w:rPr>
        <w:t xml:space="preserve">ooden planks </w:t>
      </w:r>
      <w:r w:rsidRPr="004E2A4D">
        <w:rPr>
          <w:rFonts w:ascii="Calibri" w:hAnsi="Calibri"/>
        </w:rPr>
        <w:t xml:space="preserve">are used </w:t>
      </w:r>
      <w:r w:rsidR="00047BF5" w:rsidRPr="004E2A4D">
        <w:rPr>
          <w:rFonts w:ascii="Calibri" w:hAnsi="Calibri"/>
        </w:rPr>
        <w:t xml:space="preserve">for building daymarks in Estonia and </w:t>
      </w:r>
      <w:r w:rsidRPr="004E2A4D">
        <w:rPr>
          <w:rFonts w:ascii="Calibri" w:hAnsi="Calibri"/>
        </w:rPr>
        <w:t xml:space="preserve">there has not been </w:t>
      </w:r>
      <w:r w:rsidR="00047BF5" w:rsidRPr="004E2A4D">
        <w:rPr>
          <w:rFonts w:ascii="Calibri" w:hAnsi="Calibri"/>
        </w:rPr>
        <w:t>any problems with using daymarks higher than 3 m. In Finnish guideline the heights of daymarks start from 3 meters.</w:t>
      </w:r>
    </w:p>
    <w:p w14:paraId="36BF82DA" w14:textId="77777777" w:rsidR="00047BF5" w:rsidRPr="004E2A4D" w:rsidRDefault="00047BF5" w:rsidP="003F0D4C">
      <w:pPr>
        <w:pStyle w:val="BodyText"/>
        <w:spacing w:after="0"/>
        <w:rPr>
          <w:rFonts w:ascii="Calibri" w:hAnsi="Calibri"/>
        </w:rPr>
      </w:pPr>
    </w:p>
    <w:p w14:paraId="090F875F" w14:textId="35AE895D" w:rsidR="00B33813" w:rsidRPr="004E2A4D" w:rsidRDefault="003D6C9E" w:rsidP="00B33813">
      <w:pPr>
        <w:pStyle w:val="BodyText"/>
        <w:rPr>
          <w:rFonts w:ascii="Calibri" w:hAnsi="Calibri"/>
          <w:u w:val="single"/>
        </w:rPr>
      </w:pPr>
      <w:r w:rsidRPr="004E2A4D">
        <w:rPr>
          <w:rFonts w:ascii="Calibri" w:hAnsi="Calibri"/>
          <w:u w:val="single"/>
        </w:rPr>
        <w:t xml:space="preserve">Section </w:t>
      </w:r>
      <w:r w:rsidR="00B33813" w:rsidRPr="004E2A4D">
        <w:rPr>
          <w:rFonts w:ascii="Calibri" w:hAnsi="Calibri"/>
          <w:u w:val="single"/>
        </w:rPr>
        <w:t>5.9 Enclosure 1 : Leading Line Category Selection Aid. Leading Line Category Selection Aid Notes</w:t>
      </w:r>
    </w:p>
    <w:p w14:paraId="33C8FA17" w14:textId="2D6C6D93" w:rsidR="00B33813" w:rsidRPr="004E2A4D" w:rsidRDefault="00B33813" w:rsidP="00B3381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lastRenderedPageBreak/>
        <w:t>“...choosing between a single intensity, 24-hour signal or a dual intensity, day/night signal...”</w:t>
      </w:r>
    </w:p>
    <w:p w14:paraId="3044BF3B" w14:textId="68646FD4" w:rsidR="00047BF5" w:rsidRPr="004E2A4D" w:rsidRDefault="00B33813" w:rsidP="00B3381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>Maybe a bit off-topic, but how is such single intensity 24-hour signal meant to be presented in List of Lights, for example? As it does not have same nominal range at day, it can´t be officially 24 h light. Does it just have information in Remarks that the light is on at daytime as well but with reduced range?</w:t>
      </w:r>
    </w:p>
    <w:p w14:paraId="44FEB748" w14:textId="03D8730E" w:rsidR="00B33813" w:rsidRPr="004E2A4D" w:rsidRDefault="003D6C9E" w:rsidP="00B33813">
      <w:pPr>
        <w:pStyle w:val="BodyText"/>
        <w:rPr>
          <w:rFonts w:ascii="Calibri" w:hAnsi="Calibri"/>
          <w:u w:val="single"/>
        </w:rPr>
      </w:pPr>
      <w:r w:rsidRPr="004E2A4D">
        <w:rPr>
          <w:rFonts w:ascii="Calibri" w:hAnsi="Calibri"/>
          <w:u w:val="single"/>
        </w:rPr>
        <w:t xml:space="preserve">Section </w:t>
      </w:r>
      <w:r w:rsidR="00B33813" w:rsidRPr="004E2A4D">
        <w:rPr>
          <w:rFonts w:ascii="Calibri" w:hAnsi="Calibri"/>
          <w:u w:val="single"/>
        </w:rPr>
        <w:t>6.5 Separation of Front and Rear Towers</w:t>
      </w:r>
    </w:p>
    <w:p w14:paraId="7ACA2B5B" w14:textId="278AA32E" w:rsidR="00B33813" w:rsidRPr="004E2A4D" w:rsidRDefault="0041534E" w:rsidP="00B3381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 xml:space="preserve">Could </w:t>
      </w:r>
      <w:r w:rsidR="002F5D73" w:rsidRPr="004E2A4D">
        <w:rPr>
          <w:rFonts w:ascii="Calibri" w:hAnsi="Calibri"/>
        </w:rPr>
        <w:t xml:space="preserve">conversion from this </w:t>
      </w:r>
    </w:p>
    <w:p w14:paraId="38EE38F8" w14:textId="77777777" w:rsidR="00B33813" w:rsidRPr="004E2A4D" w:rsidRDefault="00B33813" w:rsidP="00B3381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>R = (M + C) / [</w:t>
      </w:r>
      <w:r w:rsidRPr="004E2A4D">
        <w:rPr>
          <w:rFonts w:ascii="Calibri" w:hAnsi="Calibri"/>
          <w:color w:val="FF0000"/>
        </w:rPr>
        <w:t xml:space="preserve">W/ (10 (0.34 </w:t>
      </w:r>
      <w:r w:rsidRPr="004E2A4D">
        <w:rPr>
          <w:rFonts w:ascii="Calibri" w:hAnsi="Calibri"/>
        </w:rPr>
        <w:t>* 10-3 )( M + C) – 1]</w:t>
      </w:r>
    </w:p>
    <w:p w14:paraId="260C6620" w14:textId="6237FE7E" w:rsidR="00B33813" w:rsidRPr="004E2A4D" w:rsidRDefault="00B33813" w:rsidP="00B3381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>to this</w:t>
      </w:r>
    </w:p>
    <w:p w14:paraId="44B69FE8" w14:textId="77777777" w:rsidR="00B33813" w:rsidRPr="004E2A4D" w:rsidRDefault="00B33813" w:rsidP="00B3381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>R = (M + C) / [</w:t>
      </w:r>
      <w:r w:rsidRPr="004E2A4D">
        <w:rPr>
          <w:rFonts w:ascii="Calibri" w:hAnsi="Calibri"/>
          <w:color w:val="FF0000"/>
        </w:rPr>
        <w:t xml:space="preserve">1000W/ (3.4 </w:t>
      </w:r>
      <w:r w:rsidRPr="004E2A4D">
        <w:rPr>
          <w:rFonts w:ascii="Calibri" w:hAnsi="Calibri"/>
        </w:rPr>
        <w:t>* 10-3 )( M + C) – 1]</w:t>
      </w:r>
    </w:p>
    <w:p w14:paraId="0B81D811" w14:textId="55D21A87" w:rsidR="00B33813" w:rsidRPr="004E2A4D" w:rsidRDefault="0041534E" w:rsidP="00B3381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>be in</w:t>
      </w:r>
      <w:r w:rsidR="001B15D1" w:rsidRPr="004E2A4D">
        <w:rPr>
          <w:rFonts w:ascii="Calibri" w:hAnsi="Calibri"/>
        </w:rPr>
        <w:t>correct</w:t>
      </w:r>
      <w:r w:rsidR="00B33813" w:rsidRPr="004E2A4D">
        <w:rPr>
          <w:rFonts w:ascii="Calibri" w:hAnsi="Calibri"/>
        </w:rPr>
        <w:t>?</w:t>
      </w:r>
    </w:p>
    <w:p w14:paraId="63BB94E5" w14:textId="21C29164" w:rsidR="00B33813" w:rsidRPr="004E2A4D" w:rsidRDefault="003D6C9E" w:rsidP="00B33813">
      <w:pPr>
        <w:pStyle w:val="BodyText"/>
        <w:rPr>
          <w:rFonts w:ascii="Calibri" w:hAnsi="Calibri"/>
          <w:u w:val="single"/>
        </w:rPr>
      </w:pPr>
      <w:r w:rsidRPr="004E2A4D">
        <w:rPr>
          <w:rFonts w:ascii="Calibri" w:hAnsi="Calibri"/>
          <w:u w:val="single"/>
        </w:rPr>
        <w:t xml:space="preserve">Section </w:t>
      </w:r>
      <w:r w:rsidR="00B33813" w:rsidRPr="004E2A4D">
        <w:rPr>
          <w:rFonts w:ascii="Calibri" w:hAnsi="Calibri"/>
          <w:u w:val="single"/>
        </w:rPr>
        <w:t>6.7 Minimum Intensity – editorial</w:t>
      </w:r>
    </w:p>
    <w:p w14:paraId="2E4BF088" w14:textId="7FA2C516" w:rsidR="00B33813" w:rsidRPr="004E2A4D" w:rsidRDefault="00B33813" w:rsidP="00B33813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 xml:space="preserve">“lights shall be sized such that the illuminance be </w:t>
      </w:r>
      <w:r w:rsidRPr="004E2A4D">
        <w:rPr>
          <w:rFonts w:ascii="Calibri" w:hAnsi="Calibri"/>
          <w:b/>
          <w:i/>
        </w:rPr>
        <w:t>nearly equal as possible</w:t>
      </w:r>
      <w:r w:rsidRPr="004E2A4D">
        <w:rPr>
          <w:rFonts w:ascii="Calibri" w:hAnsi="Calibri"/>
          <w:i/>
        </w:rPr>
        <w:t>”</w:t>
      </w:r>
    </w:p>
    <w:p w14:paraId="325754FE" w14:textId="77777777" w:rsidR="00B33813" w:rsidRPr="004E2A4D" w:rsidRDefault="00B33813" w:rsidP="00B3381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>Could „</w:t>
      </w:r>
      <w:r w:rsidRPr="004E2A4D">
        <w:rPr>
          <w:rFonts w:ascii="Calibri" w:hAnsi="Calibri"/>
          <w:i/>
        </w:rPr>
        <w:t>as equal as possible</w:t>
      </w:r>
      <w:r w:rsidRPr="004E2A4D">
        <w:rPr>
          <w:rFonts w:ascii="Calibri" w:hAnsi="Calibri"/>
        </w:rPr>
        <w:t>“ be better?</w:t>
      </w:r>
    </w:p>
    <w:p w14:paraId="35F56AD0" w14:textId="77777777" w:rsidR="00B33813" w:rsidRPr="004E2A4D" w:rsidRDefault="00B33813" w:rsidP="00B3381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>In the first formula Distance from the light to the far end of the channel in meters is a lowercase d, in the second one capital D.</w:t>
      </w:r>
      <w:r w:rsidRPr="004E2A4D">
        <w:rPr>
          <w:rFonts w:ascii="Calibri" w:hAnsi="Calibri"/>
        </w:rPr>
        <w:tab/>
      </w:r>
    </w:p>
    <w:p w14:paraId="4CB79298" w14:textId="405070BC" w:rsidR="00B33813" w:rsidRPr="004E2A4D" w:rsidRDefault="003D6C9E" w:rsidP="00B33813">
      <w:pPr>
        <w:pStyle w:val="BodyText"/>
        <w:rPr>
          <w:rFonts w:ascii="Calibri" w:hAnsi="Calibri"/>
          <w:u w:val="single"/>
        </w:rPr>
      </w:pPr>
      <w:r w:rsidRPr="004E2A4D">
        <w:rPr>
          <w:rFonts w:ascii="Calibri" w:hAnsi="Calibri"/>
          <w:u w:val="single"/>
        </w:rPr>
        <w:t xml:space="preserve">Section </w:t>
      </w:r>
      <w:r w:rsidR="00B33813" w:rsidRPr="004E2A4D">
        <w:rPr>
          <w:rFonts w:ascii="Calibri" w:hAnsi="Calibri"/>
          <w:u w:val="single"/>
        </w:rPr>
        <w:t>6.9 Equality of Illuminances – editorial</w:t>
      </w:r>
    </w:p>
    <w:p w14:paraId="0F4AC032" w14:textId="397FAEE1" w:rsidR="00B33813" w:rsidRPr="004E2A4D" w:rsidRDefault="00B33813" w:rsidP="00B3381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>In „T = 0.05 1/V,“, the comma has slipped to the exponent.</w:t>
      </w:r>
    </w:p>
    <w:p w14:paraId="2BF05916" w14:textId="6901BA1B" w:rsidR="00B33813" w:rsidRPr="004E2A4D" w:rsidRDefault="003D6C9E" w:rsidP="00B33813">
      <w:pPr>
        <w:pStyle w:val="BodyText"/>
        <w:rPr>
          <w:rFonts w:ascii="Calibri" w:hAnsi="Calibri"/>
          <w:u w:val="single"/>
        </w:rPr>
      </w:pPr>
      <w:r w:rsidRPr="004E2A4D">
        <w:rPr>
          <w:rFonts w:ascii="Calibri" w:hAnsi="Calibri"/>
          <w:u w:val="single"/>
        </w:rPr>
        <w:t xml:space="preserve">Section </w:t>
      </w:r>
      <w:r w:rsidR="00B33813" w:rsidRPr="004E2A4D">
        <w:rPr>
          <w:rFonts w:ascii="Calibri" w:hAnsi="Calibri"/>
          <w:u w:val="single"/>
        </w:rPr>
        <w:t>6.10 Sep</w:t>
      </w:r>
      <w:r w:rsidR="00C15ED3" w:rsidRPr="004E2A4D">
        <w:rPr>
          <w:rFonts w:ascii="Calibri" w:hAnsi="Calibri"/>
          <w:u w:val="single"/>
        </w:rPr>
        <w:t>aration of Lights</w:t>
      </w:r>
    </w:p>
    <w:p w14:paraId="3E967630" w14:textId="59E1E3FF" w:rsidR="00B33813" w:rsidRPr="004E2A4D" w:rsidRDefault="00B33813" w:rsidP="00B33813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“Refer to Recommendation Equation 18, (geographical range).</w:t>
      </w:r>
    </w:p>
    <w:p w14:paraId="2D40D712" w14:textId="5ADF14EA" w:rsidR="00B33813" w:rsidRPr="004E2A4D" w:rsidRDefault="00B33813" w:rsidP="00B33813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3849 * (SQRT(H – c) + SQRT (b))”</w:t>
      </w:r>
    </w:p>
    <w:p w14:paraId="6C0BB165" w14:textId="2B8799E4" w:rsidR="00047BF5" w:rsidRPr="004E2A4D" w:rsidRDefault="00B33813" w:rsidP="00B3381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>Shouldn´t there be two sides in an equation?</w:t>
      </w:r>
    </w:p>
    <w:p w14:paraId="0847976C" w14:textId="431BCB08" w:rsidR="007A6765" w:rsidRPr="004E2A4D" w:rsidRDefault="007A6765" w:rsidP="002322DC">
      <w:pPr>
        <w:pStyle w:val="BodyText"/>
        <w:rPr>
          <w:rFonts w:ascii="Calibri" w:hAnsi="Calibri"/>
          <w:u w:val="single"/>
        </w:rPr>
      </w:pPr>
      <w:r w:rsidRPr="004E2A4D">
        <w:rPr>
          <w:rFonts w:ascii="Calibri" w:hAnsi="Calibri"/>
          <w:u w:val="single"/>
        </w:rPr>
        <w:t xml:space="preserve">Page 35 </w:t>
      </w:r>
    </w:p>
    <w:p w14:paraId="6A03D1EB" w14:textId="3D88B133" w:rsidR="002322DC" w:rsidRPr="004E2A4D" w:rsidRDefault="002322DC" w:rsidP="002322DC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</w:rPr>
        <w:t xml:space="preserve">At the bottom of the page 35 some addition-clarification seems to me necessary – </w:t>
      </w:r>
      <w:r w:rsidRPr="004E2A4D">
        <w:rPr>
          <w:rFonts w:ascii="Calibri" w:hAnsi="Calibri"/>
          <w:i/>
        </w:rPr>
        <w:t xml:space="preserve">“The entire rear dayboard (if used) must be visible </w:t>
      </w:r>
      <w:r w:rsidRPr="004E2A4D">
        <w:rPr>
          <w:rFonts w:ascii="Calibri" w:hAnsi="Calibri"/>
          <w:b/>
          <w:i/>
          <w:u w:val="single"/>
        </w:rPr>
        <w:t>above the front dayboard</w:t>
      </w:r>
      <w:r w:rsidRPr="004E2A4D">
        <w:rPr>
          <w:rFonts w:ascii="Calibri" w:hAnsi="Calibri"/>
          <w:i/>
        </w:rPr>
        <w:t xml:space="preserve"> at the far end of the useful segment and at least one-half of it visible </w:t>
      </w:r>
      <w:r w:rsidRPr="004E2A4D">
        <w:rPr>
          <w:rFonts w:ascii="Calibri" w:hAnsi="Calibri"/>
          <w:b/>
          <w:i/>
          <w:u w:val="single"/>
        </w:rPr>
        <w:t>above the front dayboard</w:t>
      </w:r>
      <w:r w:rsidRPr="004E2A4D">
        <w:rPr>
          <w:rFonts w:ascii="Calibri" w:hAnsi="Calibri"/>
          <w:i/>
        </w:rPr>
        <w:t xml:space="preserve"> at the near end of the segment.”</w:t>
      </w:r>
    </w:p>
    <w:p w14:paraId="20A152A3" w14:textId="7B34BCA3" w:rsidR="002322DC" w:rsidRPr="004E2A4D" w:rsidRDefault="002322DC" w:rsidP="002322DC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 xml:space="preserve">Same for the next page: </w:t>
      </w:r>
      <w:r w:rsidRPr="004E2A4D">
        <w:rPr>
          <w:rFonts w:ascii="Calibri" w:hAnsi="Calibri"/>
          <w:i/>
        </w:rPr>
        <w:t xml:space="preserve">“Likewise, the entire rear dayboard (if used) must be visible </w:t>
      </w:r>
      <w:r w:rsidRPr="004E2A4D">
        <w:rPr>
          <w:rFonts w:ascii="Calibri" w:hAnsi="Calibri"/>
          <w:b/>
          <w:i/>
          <w:u w:val="single"/>
        </w:rPr>
        <w:t>above the front dayboard</w:t>
      </w:r>
      <w:r w:rsidRPr="004E2A4D">
        <w:rPr>
          <w:rFonts w:ascii="Calibri" w:hAnsi="Calibri"/>
          <w:i/>
        </w:rPr>
        <w:t xml:space="preserve"> when viewed at the far end...”</w:t>
      </w:r>
    </w:p>
    <w:p w14:paraId="3794A2B2" w14:textId="63735FC8" w:rsidR="00C15ED3" w:rsidRPr="004E2A4D" w:rsidRDefault="00C15ED3" w:rsidP="00C15ED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 xml:space="preserve">Finnish guideline has recommendations for using retroreflecting film on leading marks. See </w:t>
      </w:r>
      <w:r w:rsidR="00A37FB1" w:rsidRPr="004E2A4D">
        <w:rPr>
          <w:rFonts w:ascii="Calibri" w:hAnsi="Calibri"/>
        </w:rPr>
        <w:t xml:space="preserve">my </w:t>
      </w:r>
      <w:r w:rsidR="00152074" w:rsidRPr="004E2A4D">
        <w:rPr>
          <w:rFonts w:ascii="Calibri" w:hAnsi="Calibri"/>
        </w:rPr>
        <w:t xml:space="preserve">input </w:t>
      </w:r>
      <w:r w:rsidRPr="004E2A4D">
        <w:rPr>
          <w:rFonts w:ascii="Calibri" w:hAnsi="Calibri"/>
        </w:rPr>
        <w:t>paper</w:t>
      </w:r>
      <w:r w:rsidR="00A37FB1" w:rsidRPr="004E2A4D">
        <w:rPr>
          <w:rFonts w:ascii="Calibri" w:hAnsi="Calibri"/>
        </w:rPr>
        <w:t xml:space="preserve"> with aspects from Finnish guidelines.</w:t>
      </w:r>
    </w:p>
    <w:p w14:paraId="6FEF5C57" w14:textId="024D8789" w:rsidR="00C15ED3" w:rsidRPr="004E2A4D" w:rsidRDefault="003D6C9E" w:rsidP="00C15ED3">
      <w:pPr>
        <w:pStyle w:val="BodyText"/>
        <w:rPr>
          <w:rFonts w:ascii="Calibri" w:hAnsi="Calibri"/>
          <w:u w:val="single"/>
        </w:rPr>
      </w:pPr>
      <w:r w:rsidRPr="004E2A4D">
        <w:rPr>
          <w:rFonts w:ascii="Calibri" w:hAnsi="Calibri"/>
          <w:u w:val="single"/>
        </w:rPr>
        <w:t xml:space="preserve">Section </w:t>
      </w:r>
      <w:r w:rsidR="00C15ED3" w:rsidRPr="004E2A4D">
        <w:rPr>
          <w:rFonts w:ascii="Calibri" w:hAnsi="Calibri"/>
          <w:u w:val="single"/>
        </w:rPr>
        <w:t>6.11 Sensitivity (Cross Track Factor)</w:t>
      </w:r>
    </w:p>
    <w:p w14:paraId="4CB67AFA" w14:textId="4048A449" w:rsidR="00C15ED3" w:rsidRPr="004E2A4D" w:rsidRDefault="00C15ED3" w:rsidP="00C15ED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>“CD = Position in channel segment being evaluated in meters”</w:t>
      </w:r>
    </w:p>
    <w:p w14:paraId="0F98AEF3" w14:textId="7D20D750" w:rsidR="00C15ED3" w:rsidRPr="004E2A4D" w:rsidRDefault="00C15ED3" w:rsidP="00C15ED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 xml:space="preserve">„Distance of the observer from the front light in meters“ would seem more clear to me. </w:t>
      </w:r>
    </w:p>
    <w:p w14:paraId="50FD8E26" w14:textId="7355518E" w:rsidR="00C15ED3" w:rsidRPr="004E2A4D" w:rsidRDefault="003D6C9E" w:rsidP="00C15ED3">
      <w:pPr>
        <w:pStyle w:val="BodyText"/>
        <w:rPr>
          <w:rFonts w:ascii="Calibri" w:hAnsi="Calibri"/>
          <w:u w:val="single"/>
        </w:rPr>
      </w:pPr>
      <w:r w:rsidRPr="004E2A4D">
        <w:rPr>
          <w:rFonts w:ascii="Calibri" w:hAnsi="Calibri"/>
          <w:u w:val="single"/>
        </w:rPr>
        <w:t xml:space="preserve">Section </w:t>
      </w:r>
      <w:r w:rsidR="00C15ED3" w:rsidRPr="004E2A4D">
        <w:rPr>
          <w:rFonts w:ascii="Calibri" w:hAnsi="Calibri"/>
          <w:u w:val="single"/>
        </w:rPr>
        <w:t>6.12 Dayboards</w:t>
      </w:r>
    </w:p>
    <w:p w14:paraId="6CB6424F" w14:textId="456D0E30" w:rsidR="00C15ED3" w:rsidRPr="004E2A4D" w:rsidRDefault="00C15ED3" w:rsidP="00C15ED3">
      <w:pPr>
        <w:pStyle w:val="BodyText"/>
        <w:rPr>
          <w:rFonts w:ascii="Calibri" w:hAnsi="Calibri"/>
        </w:rPr>
      </w:pPr>
      <w:r w:rsidRPr="004E2A4D">
        <w:rPr>
          <w:rFonts w:ascii="Calibri" w:hAnsi="Calibri"/>
          <w:b/>
        </w:rPr>
        <w:t>Finnish guideline</w:t>
      </w:r>
      <w:r w:rsidRPr="004E2A4D">
        <w:rPr>
          <w:rFonts w:ascii="Calibri" w:hAnsi="Calibri"/>
        </w:rPr>
        <w:t xml:space="preserve"> has simple formulas for sizes of daymarks:</w:t>
      </w:r>
    </w:p>
    <w:p w14:paraId="7A6ACF92" w14:textId="1F5E4ECF" w:rsidR="00C15ED3" w:rsidRPr="004E2A4D" w:rsidRDefault="00C15ED3" w:rsidP="00C15ED3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“Dimensions of dayboards are calculated by the following formula:</w:t>
      </w:r>
    </w:p>
    <w:p w14:paraId="6EAA1F1A" w14:textId="4AF0B72B" w:rsidR="00C15ED3" w:rsidRPr="004E2A4D" w:rsidRDefault="00C15ED3" w:rsidP="00C15ED3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k = d × 0,00052 + v</w:t>
      </w:r>
      <w:r w:rsidRPr="004E2A4D">
        <w:rPr>
          <w:rFonts w:ascii="Calibri" w:hAnsi="Calibri"/>
          <w:i/>
          <w:vertAlign w:val="subscript"/>
        </w:rPr>
        <w:t>1</w:t>
      </w:r>
    </w:p>
    <w:p w14:paraId="0F782D72" w14:textId="77777777" w:rsidR="00C15ED3" w:rsidRPr="004E2A4D" w:rsidRDefault="00C15ED3" w:rsidP="00C15ED3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l = d × 0,0004 + v</w:t>
      </w:r>
      <w:r w:rsidRPr="004E2A4D">
        <w:rPr>
          <w:rFonts w:ascii="Calibri" w:hAnsi="Calibri"/>
          <w:i/>
          <w:vertAlign w:val="subscript"/>
        </w:rPr>
        <w:t>2</w:t>
      </w:r>
    </w:p>
    <w:p w14:paraId="107431C7" w14:textId="77777777" w:rsidR="00C15ED3" w:rsidRPr="004E2A4D" w:rsidRDefault="00C15ED3" w:rsidP="00C15ED3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where</w:t>
      </w:r>
    </w:p>
    <w:p w14:paraId="54A65E15" w14:textId="77777777" w:rsidR="00C15ED3" w:rsidRPr="004E2A4D" w:rsidRDefault="00C15ED3" w:rsidP="00C15ED3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k = height of dayboard (m)</w:t>
      </w:r>
    </w:p>
    <w:p w14:paraId="0D742DB7" w14:textId="77777777" w:rsidR="00C15ED3" w:rsidRPr="004E2A4D" w:rsidRDefault="00C15ED3" w:rsidP="00C15ED3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lastRenderedPageBreak/>
        <w:t>l = width of dayboard (m)</w:t>
      </w:r>
    </w:p>
    <w:p w14:paraId="3D0A700A" w14:textId="77777777" w:rsidR="00C15ED3" w:rsidRPr="004E2A4D" w:rsidRDefault="00C15ED3" w:rsidP="00C15ED3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d = observing distance (m)</w:t>
      </w:r>
    </w:p>
    <w:p w14:paraId="54791011" w14:textId="77777777" w:rsidR="00C15ED3" w:rsidRPr="004E2A4D" w:rsidRDefault="00C15ED3" w:rsidP="00C15ED3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v</w:t>
      </w:r>
      <w:r w:rsidRPr="004E2A4D">
        <w:rPr>
          <w:rFonts w:ascii="Calibri" w:hAnsi="Calibri"/>
          <w:i/>
          <w:vertAlign w:val="subscript"/>
        </w:rPr>
        <w:t>1</w:t>
      </w:r>
      <w:r w:rsidRPr="004E2A4D">
        <w:rPr>
          <w:rFonts w:ascii="Calibri" w:hAnsi="Calibri"/>
          <w:i/>
        </w:rPr>
        <w:t>, v</w:t>
      </w:r>
      <w:r w:rsidRPr="004E2A4D">
        <w:rPr>
          <w:rFonts w:ascii="Calibri" w:hAnsi="Calibri"/>
          <w:i/>
          <w:vertAlign w:val="subscript"/>
        </w:rPr>
        <w:t>2</w:t>
      </w:r>
      <w:r w:rsidRPr="004E2A4D">
        <w:rPr>
          <w:rFonts w:ascii="Calibri" w:hAnsi="Calibri"/>
          <w:i/>
        </w:rPr>
        <w:t xml:space="preserve"> = constants</w:t>
      </w:r>
    </w:p>
    <w:p w14:paraId="5B56B841" w14:textId="77777777" w:rsidR="00C15ED3" w:rsidRPr="004E2A4D" w:rsidRDefault="00C15ED3" w:rsidP="00C15ED3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Observing distances:</w:t>
      </w:r>
    </w:p>
    <w:p w14:paraId="28E784CF" w14:textId="77777777" w:rsidR="00C15ED3" w:rsidRPr="004E2A4D" w:rsidRDefault="00C15ED3" w:rsidP="00C15ED3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Front mark: d = far end of useful segment</w:t>
      </w:r>
    </w:p>
    <w:p w14:paraId="54DEC1F4" w14:textId="77777777" w:rsidR="00C15ED3" w:rsidRPr="004E2A4D" w:rsidRDefault="00C15ED3" w:rsidP="00C15ED3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 xml:space="preserve">Rear mark: d = far end of useful segment + distance between marks </w:t>
      </w:r>
    </w:p>
    <w:p w14:paraId="00C395CC" w14:textId="77777777" w:rsidR="00C15ED3" w:rsidRPr="004E2A4D" w:rsidRDefault="00C15ED3" w:rsidP="00C15ED3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Constants:</w:t>
      </w:r>
    </w:p>
    <w:p w14:paraId="6A5652A7" w14:textId="77777777" w:rsidR="00C15ED3" w:rsidRPr="004E2A4D" w:rsidRDefault="00C15ED3" w:rsidP="00C15ED3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Merchant fairways at sea: v</w:t>
      </w:r>
      <w:r w:rsidRPr="004E2A4D">
        <w:rPr>
          <w:rFonts w:ascii="Calibri" w:hAnsi="Calibri"/>
          <w:i/>
          <w:vertAlign w:val="subscript"/>
        </w:rPr>
        <w:t>1</w:t>
      </w:r>
      <w:r w:rsidRPr="004E2A4D">
        <w:rPr>
          <w:rFonts w:ascii="Calibri" w:hAnsi="Calibri"/>
          <w:i/>
        </w:rPr>
        <w:t xml:space="preserve"> = 1,9 ja v</w:t>
      </w:r>
      <w:r w:rsidRPr="004E2A4D">
        <w:rPr>
          <w:rFonts w:ascii="Calibri" w:hAnsi="Calibri"/>
          <w:i/>
          <w:vertAlign w:val="subscript"/>
        </w:rPr>
        <w:t>2</w:t>
      </w:r>
      <w:r w:rsidRPr="004E2A4D">
        <w:rPr>
          <w:rFonts w:ascii="Calibri" w:hAnsi="Calibri"/>
          <w:i/>
        </w:rPr>
        <w:t xml:space="preserve"> = 1,4</w:t>
      </w:r>
    </w:p>
    <w:p w14:paraId="0CADBC92" w14:textId="77777777" w:rsidR="00C15ED3" w:rsidRPr="004E2A4D" w:rsidRDefault="00C15ED3" w:rsidP="00C15ED3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Inland and small vessel routes: v</w:t>
      </w:r>
      <w:r w:rsidRPr="004E2A4D">
        <w:rPr>
          <w:rFonts w:ascii="Calibri" w:hAnsi="Calibri"/>
          <w:i/>
          <w:vertAlign w:val="subscript"/>
        </w:rPr>
        <w:t xml:space="preserve">1 </w:t>
      </w:r>
      <w:r w:rsidRPr="004E2A4D">
        <w:rPr>
          <w:rFonts w:ascii="Calibri" w:hAnsi="Calibri"/>
          <w:i/>
        </w:rPr>
        <w:t>= 1,3 ja v</w:t>
      </w:r>
      <w:r w:rsidRPr="004E2A4D">
        <w:rPr>
          <w:rFonts w:ascii="Calibri" w:hAnsi="Calibri"/>
          <w:i/>
          <w:vertAlign w:val="subscript"/>
        </w:rPr>
        <w:t>2</w:t>
      </w:r>
      <w:r w:rsidRPr="004E2A4D">
        <w:rPr>
          <w:rFonts w:ascii="Calibri" w:hAnsi="Calibri"/>
          <w:i/>
        </w:rPr>
        <w:t xml:space="preserve"> = 0,9</w:t>
      </w:r>
    </w:p>
    <w:p w14:paraId="1410E2CF" w14:textId="1AB43B01" w:rsidR="00C15ED3" w:rsidRPr="004E2A4D" w:rsidRDefault="00C15ED3" w:rsidP="00C15ED3">
      <w:pPr>
        <w:pStyle w:val="BodyText"/>
        <w:rPr>
          <w:rFonts w:ascii="Calibri" w:hAnsi="Calibri"/>
          <w:i/>
        </w:rPr>
      </w:pPr>
      <w:r w:rsidRPr="004E2A4D">
        <w:rPr>
          <w:rFonts w:ascii="Calibri" w:hAnsi="Calibri"/>
          <w:i/>
        </w:rPr>
        <w:t>On merchant fairways at sea minimum dimensions of the dayboards are k×l = 4,5×3,0 m2 and inland and small vessel routes 1,5×1,0 m2. Rear dayboard can, in special cases, be remarkably higher. Dayboard’s maximum size is 100 m2.“</w:t>
      </w:r>
    </w:p>
    <w:p w14:paraId="5A81544B" w14:textId="5EF0B93B" w:rsidR="00C15ED3" w:rsidRPr="004E2A4D" w:rsidRDefault="00C15ED3" w:rsidP="00C15ED3">
      <w:pPr>
        <w:pStyle w:val="BodyText"/>
        <w:rPr>
          <w:rFonts w:ascii="Calibri" w:hAnsi="Calibri"/>
        </w:rPr>
      </w:pPr>
      <w:r w:rsidRPr="004E2A4D">
        <w:rPr>
          <w:rFonts w:ascii="Calibri" w:hAnsi="Calibri"/>
          <w:b/>
        </w:rPr>
        <w:t>Russian guidelines</w:t>
      </w:r>
      <w:r w:rsidRPr="004E2A4D">
        <w:rPr>
          <w:rFonts w:ascii="Calibri" w:hAnsi="Calibri"/>
        </w:rPr>
        <w:t xml:space="preserve"> calculate the width of the daymarks according to the distance to the far end with the formulas 2b1 = 0.58D (front dayboard) and 2b2 = 0.58(D+d) (rear dayboard) and „in most cases“ multipliy it with 3...5 to get the height of the marks.</w:t>
      </w:r>
    </w:p>
    <w:p w14:paraId="50C96377" w14:textId="7ED4393C" w:rsidR="00602A43" w:rsidRPr="004E2A4D" w:rsidRDefault="00602A43" w:rsidP="00C15ED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>Finnish guidelines result in biggest daymarks among the guidelines under discussions here.</w:t>
      </w:r>
    </w:p>
    <w:p w14:paraId="3E8418C0" w14:textId="326E6946" w:rsidR="00C15ED3" w:rsidRPr="004E2A4D" w:rsidRDefault="00C15ED3" w:rsidP="00C15ED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>Would reference to IALA Guideline on Daymarks for AtoN be relevant</w:t>
      </w:r>
      <w:r w:rsidR="00602A43" w:rsidRPr="004E2A4D">
        <w:rPr>
          <w:rFonts w:ascii="Calibri" w:hAnsi="Calibri"/>
        </w:rPr>
        <w:t xml:space="preserve"> in the Guildeine on Leading Lines</w:t>
      </w:r>
      <w:r w:rsidRPr="004E2A4D">
        <w:rPr>
          <w:rFonts w:ascii="Calibri" w:hAnsi="Calibri"/>
        </w:rPr>
        <w:t>?</w:t>
      </w:r>
    </w:p>
    <w:p w14:paraId="00021473" w14:textId="1C3EDA7E" w:rsidR="00C15ED3" w:rsidRPr="004E2A4D" w:rsidRDefault="003D6C9E" w:rsidP="00C15ED3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>On daymarks s</w:t>
      </w:r>
      <w:r w:rsidR="007143A2" w:rsidRPr="004E2A4D">
        <w:rPr>
          <w:rFonts w:ascii="Calibri" w:hAnsi="Calibri"/>
        </w:rPr>
        <w:t xml:space="preserve">ee also </w:t>
      </w:r>
      <w:r w:rsidR="00F614A4" w:rsidRPr="004E2A4D">
        <w:rPr>
          <w:rFonts w:ascii="Calibri" w:hAnsi="Calibri"/>
        </w:rPr>
        <w:t xml:space="preserve">my </w:t>
      </w:r>
      <w:r w:rsidR="007143A2" w:rsidRPr="004E2A4D">
        <w:rPr>
          <w:rFonts w:ascii="Calibri" w:hAnsi="Calibri"/>
        </w:rPr>
        <w:t xml:space="preserve">input paper </w:t>
      </w:r>
      <w:r w:rsidRPr="004E2A4D">
        <w:rPr>
          <w:rFonts w:ascii="Calibri" w:hAnsi="Calibri"/>
        </w:rPr>
        <w:t>with aspects from Finnish guidelines.</w:t>
      </w:r>
    </w:p>
    <w:p w14:paraId="07EB6DE3" w14:textId="05244B94" w:rsidR="002322DC" w:rsidRPr="004E2A4D" w:rsidRDefault="002322DC" w:rsidP="002322DC">
      <w:pPr>
        <w:pStyle w:val="BodyText"/>
        <w:rPr>
          <w:rFonts w:ascii="Calibri" w:hAnsi="Calibri"/>
        </w:rPr>
      </w:pPr>
    </w:p>
    <w:p w14:paraId="5368EC5E" w14:textId="77777777" w:rsidR="00B33813" w:rsidRPr="004E2A4D" w:rsidRDefault="00B33813" w:rsidP="002322DC">
      <w:pPr>
        <w:pStyle w:val="BodyText"/>
        <w:tabs>
          <w:tab w:val="left" w:pos="2294"/>
        </w:tabs>
        <w:rPr>
          <w:rFonts w:ascii="Calibri" w:hAnsi="Calibri"/>
        </w:rPr>
      </w:pPr>
    </w:p>
    <w:p w14:paraId="1D083D92" w14:textId="77777777" w:rsidR="00180DDA" w:rsidRPr="004E2A4D" w:rsidRDefault="00180DDA" w:rsidP="004E2A4D">
      <w:pPr>
        <w:pStyle w:val="Heading1"/>
      </w:pPr>
      <w:r w:rsidRPr="004E2A4D">
        <w:t>References</w:t>
      </w:r>
    </w:p>
    <w:p w14:paraId="68C7C222" w14:textId="4BF50191" w:rsidR="005920DE" w:rsidRPr="004E2A4D" w:rsidRDefault="008E0333" w:rsidP="008E0333">
      <w:pPr>
        <w:pStyle w:val="References"/>
        <w:rPr>
          <w:rFonts w:ascii="Calibri" w:hAnsi="Calibri"/>
        </w:rPr>
      </w:pPr>
      <w:r w:rsidRPr="004E2A4D">
        <w:rPr>
          <w:rFonts w:ascii="Calibri" w:hAnsi="Calibri"/>
          <w:i/>
        </w:rPr>
        <w:t>Инструксия по навигационному оборудованию (ИНО-2000). Санкт-Петербург: Министерство Обороны Российской Федерации Главное Управление Навигаций и Океанографий, 2001</w:t>
      </w:r>
      <w:r w:rsidRPr="004E2A4D">
        <w:rPr>
          <w:rFonts w:ascii="Calibri" w:hAnsi="Calibri"/>
        </w:rPr>
        <w:t xml:space="preserve"> </w:t>
      </w:r>
      <w:r w:rsidR="005920DE" w:rsidRPr="004E2A4D">
        <w:rPr>
          <w:rFonts w:ascii="Calibri" w:hAnsi="Calibri"/>
        </w:rPr>
        <w:t xml:space="preserve">(There might be a newer one </w:t>
      </w:r>
      <w:r w:rsidR="006D4586" w:rsidRPr="004E2A4D">
        <w:rPr>
          <w:rFonts w:ascii="Calibri" w:hAnsi="Calibri"/>
        </w:rPr>
        <w:t>than</w:t>
      </w:r>
      <w:r w:rsidRPr="004E2A4D">
        <w:rPr>
          <w:rFonts w:ascii="Calibri" w:hAnsi="Calibri"/>
        </w:rPr>
        <w:t xml:space="preserve"> </w:t>
      </w:r>
      <w:r w:rsidR="005920DE" w:rsidRPr="004E2A4D">
        <w:rPr>
          <w:rFonts w:ascii="Calibri" w:hAnsi="Calibri"/>
        </w:rPr>
        <w:t>200</w:t>
      </w:r>
      <w:r w:rsidRPr="004E2A4D">
        <w:rPr>
          <w:rFonts w:ascii="Calibri" w:hAnsi="Calibri"/>
        </w:rPr>
        <w:t>1</w:t>
      </w:r>
      <w:r w:rsidR="005920DE" w:rsidRPr="004E2A4D">
        <w:rPr>
          <w:rFonts w:ascii="Calibri" w:hAnsi="Calibri"/>
        </w:rPr>
        <w:t xml:space="preserve"> but I don´t have one.)</w:t>
      </w:r>
    </w:p>
    <w:p w14:paraId="203C0168" w14:textId="15F6A4C0" w:rsidR="006D4586" w:rsidRPr="004E2A4D" w:rsidRDefault="005920DE" w:rsidP="00C56150">
      <w:pPr>
        <w:pStyle w:val="References"/>
        <w:rPr>
          <w:rFonts w:ascii="Calibri" w:hAnsi="Calibri"/>
        </w:rPr>
      </w:pPr>
      <w:r w:rsidRPr="004E2A4D">
        <w:rPr>
          <w:rFonts w:ascii="Calibri" w:hAnsi="Calibri"/>
          <w:i/>
        </w:rPr>
        <w:t>Vesiväylien linjalaskennan perusteet. 2-2013. Liikennevitaston oppaita</w:t>
      </w:r>
      <w:r w:rsidR="006D4586" w:rsidRPr="004E2A4D">
        <w:rPr>
          <w:rFonts w:ascii="Calibri" w:hAnsi="Calibri"/>
        </w:rPr>
        <w:t xml:space="preserve"> </w:t>
      </w:r>
      <w:hyperlink r:id="rId9" w:history="1">
        <w:r w:rsidR="006D4586" w:rsidRPr="004E2A4D">
          <w:rPr>
            <w:rStyle w:val="Hyperlink"/>
            <w:rFonts w:ascii="Calibri" w:hAnsi="Calibri"/>
          </w:rPr>
          <w:t>http://www2.liikennevirasto.fi/julkaisut/pdf3/lop_2013-02_vesivaylien_linjalaskennan_web.pdf</w:t>
        </w:r>
      </w:hyperlink>
      <w:r w:rsidR="006D4586" w:rsidRPr="004E2A4D">
        <w:rPr>
          <w:rFonts w:ascii="Calibri" w:hAnsi="Calibri"/>
        </w:rPr>
        <w:t xml:space="preserve"> </w:t>
      </w:r>
    </w:p>
    <w:p w14:paraId="35E33728" w14:textId="77777777" w:rsidR="005920DE" w:rsidRPr="004E2A4D" w:rsidRDefault="006D4586" w:rsidP="005920DE">
      <w:pPr>
        <w:pStyle w:val="References"/>
        <w:numPr>
          <w:ilvl w:val="0"/>
          <w:numId w:val="0"/>
        </w:numPr>
        <w:ind w:left="567"/>
        <w:rPr>
          <w:rFonts w:ascii="Calibri" w:hAnsi="Calibri"/>
          <w:lang w:eastAsia="de-DE"/>
        </w:rPr>
      </w:pPr>
      <w:r w:rsidRPr="004E2A4D">
        <w:rPr>
          <w:rFonts w:ascii="Calibri" w:hAnsi="Calibri"/>
          <w:lang w:eastAsia="de-DE"/>
        </w:rPr>
        <w:t xml:space="preserve"> </w:t>
      </w:r>
    </w:p>
    <w:p w14:paraId="7A8D2F27" w14:textId="77777777" w:rsidR="00A446C9" w:rsidRPr="004E2A4D" w:rsidRDefault="00A446C9" w:rsidP="004E2A4D">
      <w:pPr>
        <w:pStyle w:val="Heading1"/>
      </w:pPr>
      <w:r w:rsidRPr="004E2A4D">
        <w:t>Action requested of the Committee</w:t>
      </w:r>
    </w:p>
    <w:p w14:paraId="1556E528" w14:textId="48D826FE" w:rsidR="00F25BF4" w:rsidRPr="004E2A4D" w:rsidRDefault="00F25BF4" w:rsidP="00A446C9">
      <w:pPr>
        <w:pStyle w:val="BodyText"/>
        <w:rPr>
          <w:rFonts w:ascii="Calibri" w:hAnsi="Calibri"/>
        </w:rPr>
      </w:pPr>
      <w:r w:rsidRPr="004E2A4D">
        <w:rPr>
          <w:rFonts w:ascii="Calibri" w:hAnsi="Calibri"/>
        </w:rPr>
        <w:t xml:space="preserve">The Committee is requested to: </w:t>
      </w:r>
    </w:p>
    <w:p w14:paraId="41A1E375" w14:textId="68425C3A" w:rsidR="00F25BF4" w:rsidRPr="004E2A4D" w:rsidRDefault="00EF4EAC" w:rsidP="00EF4EAC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4E2A4D">
        <w:rPr>
          <w:rFonts w:ascii="Calibri" w:hAnsi="Calibri"/>
        </w:rPr>
        <w:t>Review the input paper during the discussion of</w:t>
      </w:r>
      <w:r w:rsidR="00FE1E93" w:rsidRPr="004E2A4D">
        <w:rPr>
          <w:rFonts w:ascii="Calibri" w:hAnsi="Calibri"/>
        </w:rPr>
        <w:t xml:space="preserve"> Guideline 1023 for the Design of Leading Lines</w:t>
      </w:r>
    </w:p>
    <w:p w14:paraId="16AE6650" w14:textId="3DAF322A" w:rsidR="004D1D85" w:rsidRPr="004E2A4D" w:rsidRDefault="004D1D85" w:rsidP="00FE1E93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4E2A4D" w:rsidSect="0082480E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02EF05" w14:textId="77777777" w:rsidR="000D7C8F" w:rsidRDefault="000D7C8F" w:rsidP="00362CD9">
      <w:r>
        <w:separator/>
      </w:r>
    </w:p>
  </w:endnote>
  <w:endnote w:type="continuationSeparator" w:id="0">
    <w:p w14:paraId="0AA902D1" w14:textId="77777777" w:rsidR="000D7C8F" w:rsidRDefault="000D7C8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E2A4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DDACC" w14:textId="77777777" w:rsidR="000D7C8F" w:rsidRDefault="000D7C8F" w:rsidP="00362CD9">
      <w:r>
        <w:separator/>
      </w:r>
    </w:p>
  </w:footnote>
  <w:footnote w:type="continuationSeparator" w:id="0">
    <w:p w14:paraId="27FBC154" w14:textId="77777777" w:rsidR="000D7C8F" w:rsidRDefault="000D7C8F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5BCDC1A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6D97EDE"/>
    <w:multiLevelType w:val="hybridMultilevel"/>
    <w:tmpl w:val="C84ED5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5"/>
  </w:num>
  <w:num w:numId="16">
    <w:abstractNumId w:val="14"/>
  </w:num>
  <w:num w:numId="17">
    <w:abstractNumId w:val="6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9"/>
  </w:num>
  <w:num w:numId="46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25D38"/>
    <w:rsid w:val="000365A4"/>
    <w:rsid w:val="00037DF4"/>
    <w:rsid w:val="0004700E"/>
    <w:rsid w:val="00047BF5"/>
    <w:rsid w:val="0006504D"/>
    <w:rsid w:val="00070C13"/>
    <w:rsid w:val="00080725"/>
    <w:rsid w:val="00084F33"/>
    <w:rsid w:val="00086309"/>
    <w:rsid w:val="000A77A7"/>
    <w:rsid w:val="000B1707"/>
    <w:rsid w:val="000C1B3E"/>
    <w:rsid w:val="000D7C8F"/>
    <w:rsid w:val="000E2839"/>
    <w:rsid w:val="00110AE7"/>
    <w:rsid w:val="00126A2C"/>
    <w:rsid w:val="00152074"/>
    <w:rsid w:val="00177F4D"/>
    <w:rsid w:val="00180DDA"/>
    <w:rsid w:val="0019583F"/>
    <w:rsid w:val="001B15D1"/>
    <w:rsid w:val="001B2A2D"/>
    <w:rsid w:val="001B737D"/>
    <w:rsid w:val="001C44A3"/>
    <w:rsid w:val="001E0E15"/>
    <w:rsid w:val="001F528A"/>
    <w:rsid w:val="001F704E"/>
    <w:rsid w:val="002125B0"/>
    <w:rsid w:val="002322DC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54A8"/>
    <w:rsid w:val="002F5D73"/>
    <w:rsid w:val="0033726B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D6C9E"/>
    <w:rsid w:val="003F0D4C"/>
    <w:rsid w:val="003F2918"/>
    <w:rsid w:val="003F3F75"/>
    <w:rsid w:val="003F430E"/>
    <w:rsid w:val="0041088C"/>
    <w:rsid w:val="00413477"/>
    <w:rsid w:val="0041534E"/>
    <w:rsid w:val="00420A38"/>
    <w:rsid w:val="00431B19"/>
    <w:rsid w:val="004507DF"/>
    <w:rsid w:val="004661AD"/>
    <w:rsid w:val="00490818"/>
    <w:rsid w:val="004A6C7A"/>
    <w:rsid w:val="004D1D85"/>
    <w:rsid w:val="004D3C3A"/>
    <w:rsid w:val="004E1CD1"/>
    <w:rsid w:val="004E2A4D"/>
    <w:rsid w:val="005107EB"/>
    <w:rsid w:val="00521345"/>
    <w:rsid w:val="00526DF0"/>
    <w:rsid w:val="00545CC4"/>
    <w:rsid w:val="00551FFF"/>
    <w:rsid w:val="005607A2"/>
    <w:rsid w:val="0057198B"/>
    <w:rsid w:val="005920DE"/>
    <w:rsid w:val="00597FAE"/>
    <w:rsid w:val="005B32A3"/>
    <w:rsid w:val="005C0D44"/>
    <w:rsid w:val="005C566C"/>
    <w:rsid w:val="005C7E69"/>
    <w:rsid w:val="005E262D"/>
    <w:rsid w:val="005F23D3"/>
    <w:rsid w:val="005F7E20"/>
    <w:rsid w:val="00602A43"/>
    <w:rsid w:val="006153BB"/>
    <w:rsid w:val="0064293B"/>
    <w:rsid w:val="00662733"/>
    <w:rsid w:val="006652C3"/>
    <w:rsid w:val="00691FD0"/>
    <w:rsid w:val="00692148"/>
    <w:rsid w:val="006C5948"/>
    <w:rsid w:val="006D4586"/>
    <w:rsid w:val="006F2A74"/>
    <w:rsid w:val="007118F5"/>
    <w:rsid w:val="00712AA4"/>
    <w:rsid w:val="007143A2"/>
    <w:rsid w:val="007146C4"/>
    <w:rsid w:val="00721AA1"/>
    <w:rsid w:val="00724B67"/>
    <w:rsid w:val="007547F8"/>
    <w:rsid w:val="00765622"/>
    <w:rsid w:val="00770B6C"/>
    <w:rsid w:val="00783FEA"/>
    <w:rsid w:val="007A6765"/>
    <w:rsid w:val="007D1D0D"/>
    <w:rsid w:val="007D37AF"/>
    <w:rsid w:val="0080294B"/>
    <w:rsid w:val="00807CDF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C3701"/>
    <w:rsid w:val="008D1694"/>
    <w:rsid w:val="008D79CB"/>
    <w:rsid w:val="008E0333"/>
    <w:rsid w:val="008F07BC"/>
    <w:rsid w:val="0092692B"/>
    <w:rsid w:val="00943E9C"/>
    <w:rsid w:val="00945C17"/>
    <w:rsid w:val="00953F4D"/>
    <w:rsid w:val="00960BB8"/>
    <w:rsid w:val="00964F5C"/>
    <w:rsid w:val="009831C0"/>
    <w:rsid w:val="009A1D62"/>
    <w:rsid w:val="009F3BF4"/>
    <w:rsid w:val="00A0389B"/>
    <w:rsid w:val="00A305EB"/>
    <w:rsid w:val="00A37FB1"/>
    <w:rsid w:val="00A446C9"/>
    <w:rsid w:val="00A635D6"/>
    <w:rsid w:val="00A81F79"/>
    <w:rsid w:val="00A8553A"/>
    <w:rsid w:val="00A93AED"/>
    <w:rsid w:val="00AE1319"/>
    <w:rsid w:val="00AE34BB"/>
    <w:rsid w:val="00B226F2"/>
    <w:rsid w:val="00B274DF"/>
    <w:rsid w:val="00B33813"/>
    <w:rsid w:val="00B56BDF"/>
    <w:rsid w:val="00B65812"/>
    <w:rsid w:val="00B65B93"/>
    <w:rsid w:val="00B80189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110C1"/>
    <w:rsid w:val="00C15ED3"/>
    <w:rsid w:val="00C6171E"/>
    <w:rsid w:val="00C92133"/>
    <w:rsid w:val="00CA6F2C"/>
    <w:rsid w:val="00CC5FEA"/>
    <w:rsid w:val="00CF0095"/>
    <w:rsid w:val="00CF1871"/>
    <w:rsid w:val="00D1133E"/>
    <w:rsid w:val="00D17A34"/>
    <w:rsid w:val="00D17F21"/>
    <w:rsid w:val="00D23061"/>
    <w:rsid w:val="00D26628"/>
    <w:rsid w:val="00D32A9B"/>
    <w:rsid w:val="00D332B3"/>
    <w:rsid w:val="00D55207"/>
    <w:rsid w:val="00D83873"/>
    <w:rsid w:val="00D84FD6"/>
    <w:rsid w:val="00D92B45"/>
    <w:rsid w:val="00D95962"/>
    <w:rsid w:val="00DA0194"/>
    <w:rsid w:val="00DC389B"/>
    <w:rsid w:val="00DE2FEE"/>
    <w:rsid w:val="00E00BE9"/>
    <w:rsid w:val="00E0155D"/>
    <w:rsid w:val="00E22A11"/>
    <w:rsid w:val="00E31E5C"/>
    <w:rsid w:val="00E558C3"/>
    <w:rsid w:val="00E55927"/>
    <w:rsid w:val="00E912A6"/>
    <w:rsid w:val="00E9271E"/>
    <w:rsid w:val="00EA4844"/>
    <w:rsid w:val="00EA4D9C"/>
    <w:rsid w:val="00EA5A97"/>
    <w:rsid w:val="00EB75EE"/>
    <w:rsid w:val="00EE4C1D"/>
    <w:rsid w:val="00EF3685"/>
    <w:rsid w:val="00EF4EAC"/>
    <w:rsid w:val="00F159EB"/>
    <w:rsid w:val="00F25BF4"/>
    <w:rsid w:val="00F267DB"/>
    <w:rsid w:val="00F46F6F"/>
    <w:rsid w:val="00F50CAF"/>
    <w:rsid w:val="00F60608"/>
    <w:rsid w:val="00F614A4"/>
    <w:rsid w:val="00F62217"/>
    <w:rsid w:val="00FB17A9"/>
    <w:rsid w:val="00FB527C"/>
    <w:rsid w:val="00FB6F75"/>
    <w:rsid w:val="00FC0EB3"/>
    <w:rsid w:val="00FD675E"/>
    <w:rsid w:val="00FE1E93"/>
    <w:rsid w:val="00FE5674"/>
    <w:rsid w:val="00FE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4E2A4D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4E2A4D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E2A4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4E2A4D"/>
    <w:rPr>
      <w:rFonts w:cs="Calibri"/>
      <w:b/>
      <w:color w:val="0070C0"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2.liikennevirasto.fi/julkaisut/pdf3/lop_2013-02_vesivaylien_linjalaskennan_we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A5280-D15C-4A79-BFFD-501E08D94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1238</Words>
  <Characters>7062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dcterms:created xsi:type="dcterms:W3CDTF">2016-03-10T12:17:00Z</dcterms:created>
  <dcterms:modified xsi:type="dcterms:W3CDTF">2016-03-10T12:17:00Z</dcterms:modified>
</cp:coreProperties>
</file>